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3153DA2B"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8D1868" w:rsidRPr="008D1868">
        <w:rPr>
          <w:rFonts w:cs="Arial"/>
          <w:b/>
          <w:sz w:val="22"/>
          <w:szCs w:val="22"/>
          <w:lang w:val="en-US"/>
        </w:rPr>
        <w:t>2</w:t>
      </w:r>
      <w:r w:rsidRPr="008D1868">
        <w:rPr>
          <w:rFonts w:cs="Arial"/>
          <w:b/>
          <w:sz w:val="22"/>
          <w:szCs w:val="22"/>
          <w:lang w:val="en-US"/>
        </w:rPr>
        <w:t>-e</w:t>
      </w:r>
      <w:r w:rsidRPr="008D1868">
        <w:rPr>
          <w:rFonts w:cs="Arial"/>
          <w:b/>
          <w:i/>
          <w:sz w:val="22"/>
          <w:szCs w:val="22"/>
          <w:lang w:val="en-US"/>
        </w:rPr>
        <w:tab/>
      </w:r>
      <w:r w:rsidR="000F3452" w:rsidRPr="008D1868">
        <w:rPr>
          <w:rFonts w:cs="Arial"/>
          <w:b/>
          <w:i/>
          <w:sz w:val="22"/>
          <w:szCs w:val="22"/>
          <w:lang w:val="en-US" w:eastAsia="zh-CN"/>
        </w:rPr>
        <w:t>R2-</w:t>
      </w:r>
      <w:r w:rsidR="004C1275" w:rsidRPr="008D1868">
        <w:rPr>
          <w:rFonts w:cs="Arial"/>
          <w:b/>
          <w:i/>
          <w:sz w:val="22"/>
          <w:szCs w:val="22"/>
          <w:lang w:val="en-US" w:eastAsia="zh-CN"/>
        </w:rPr>
        <w:t>200</w:t>
      </w:r>
      <w:r w:rsidR="004C1275">
        <w:rPr>
          <w:rFonts w:cs="Arial"/>
          <w:b/>
          <w:i/>
          <w:sz w:val="22"/>
          <w:szCs w:val="22"/>
          <w:lang w:val="en-US" w:eastAsia="zh-CN"/>
        </w:rPr>
        <w:t>8830</w:t>
      </w:r>
    </w:p>
    <w:p w14:paraId="540B9A86" w14:textId="77777777"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8D1868" w:rsidRPr="008D1868">
        <w:rPr>
          <w:rFonts w:cs="Arial"/>
          <w:b/>
          <w:sz w:val="22"/>
          <w:szCs w:val="22"/>
          <w:lang w:val="en-US"/>
        </w:rPr>
        <w:t>November</w:t>
      </w:r>
      <w:r w:rsidRPr="008D1868">
        <w:rPr>
          <w:rFonts w:cs="Arial"/>
          <w:b/>
          <w:sz w:val="22"/>
          <w:szCs w:val="22"/>
          <w:lang w:val="en-US"/>
        </w:rPr>
        <w:t xml:space="preserve"> 2020</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742D6E65" w:rsidR="00D0573B" w:rsidRDefault="00D0573B">
      <w:pPr>
        <w:pStyle w:val="3GPPHeader"/>
        <w:rPr>
          <w:sz w:val="22"/>
          <w:szCs w:val="22"/>
        </w:rPr>
      </w:pPr>
      <w:r w:rsidRPr="000575E5">
        <w:rPr>
          <w:sz w:val="22"/>
          <w:szCs w:val="22"/>
        </w:rPr>
        <w:t>Agenda Item:</w:t>
      </w:r>
      <w:r w:rsidRPr="000575E5">
        <w:rPr>
          <w:sz w:val="22"/>
          <w:szCs w:val="22"/>
        </w:rPr>
        <w:tab/>
      </w:r>
      <w:r w:rsidR="000575E5" w:rsidRPr="008D1868">
        <w:rPr>
          <w:sz w:val="22"/>
          <w:szCs w:val="22"/>
          <w:highlight w:val="yellow"/>
        </w:rPr>
        <w:t>8.</w:t>
      </w:r>
      <w:r w:rsidR="00EC1FE8">
        <w:rPr>
          <w:sz w:val="22"/>
          <w:szCs w:val="22"/>
          <w:highlight w:val="yellow"/>
        </w:rPr>
        <w:t>15</w:t>
      </w:r>
      <w:r w:rsidR="000575E5" w:rsidRPr="008D1868">
        <w:rPr>
          <w:sz w:val="22"/>
          <w:szCs w:val="22"/>
          <w:highlight w:val="yellow"/>
        </w:rPr>
        <w:t>.</w:t>
      </w:r>
      <w:r w:rsidR="00EC1FE8">
        <w:rPr>
          <w:sz w:val="22"/>
          <w:szCs w:val="22"/>
          <w:highlight w:val="yellow"/>
        </w:rPr>
        <w:t>4</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324EE603" w:rsidR="00D0573B" w:rsidRDefault="00D0573B">
      <w:pPr>
        <w:pStyle w:val="3GPPHeader"/>
        <w:rPr>
          <w:sz w:val="22"/>
          <w:szCs w:val="22"/>
        </w:rPr>
      </w:pPr>
      <w:r>
        <w:rPr>
          <w:sz w:val="22"/>
          <w:szCs w:val="22"/>
        </w:rPr>
        <w:t>Title:</w:t>
      </w:r>
      <w:r>
        <w:rPr>
          <w:sz w:val="22"/>
          <w:szCs w:val="22"/>
        </w:rPr>
        <w:tab/>
      </w:r>
      <w:r w:rsidR="00D036C6">
        <w:rPr>
          <w:sz w:val="22"/>
          <w:szCs w:val="22"/>
        </w:rPr>
        <w:t xml:space="preserve">Discussion on </w:t>
      </w:r>
      <w:r w:rsidR="00F36DE2">
        <w:rPr>
          <w:sz w:val="22"/>
          <w:szCs w:val="22"/>
        </w:rPr>
        <w:t xml:space="preserve">geo-area confinement for non-ITS </w:t>
      </w:r>
      <w:proofErr w:type="spellStart"/>
      <w:r w:rsidR="00F36DE2">
        <w:rPr>
          <w:sz w:val="22"/>
          <w:szCs w:val="22"/>
        </w:rPr>
        <w:t>sidelink</w:t>
      </w:r>
      <w:proofErr w:type="spellEnd"/>
      <w:r w:rsidR="00F36DE2">
        <w:rPr>
          <w:sz w:val="22"/>
          <w:szCs w:val="22"/>
        </w:rPr>
        <w:t xml:space="preserve"> band</w:t>
      </w:r>
      <w:r w:rsidR="00595036">
        <w:rPr>
          <w:sz w:val="22"/>
          <w:szCs w:val="22"/>
        </w:rPr>
        <w:t xml:space="preserve"> </w:t>
      </w:r>
    </w:p>
    <w:p w14:paraId="0EA34EE4" w14:textId="0D5E4309" w:rsidR="00D0573B" w:rsidRDefault="00D0573B">
      <w:pPr>
        <w:pStyle w:val="3GPPHeader"/>
        <w:rPr>
          <w:sz w:val="22"/>
          <w:szCs w:val="22"/>
        </w:rPr>
      </w:pPr>
      <w:r>
        <w:rPr>
          <w:sz w:val="22"/>
          <w:szCs w:val="22"/>
        </w:rPr>
        <w:t>Document for:</w:t>
      </w:r>
      <w:r>
        <w:rPr>
          <w:sz w:val="22"/>
          <w:szCs w:val="22"/>
        </w:rPr>
        <w:tab/>
        <w:t>Discussion, Decision</w:t>
      </w:r>
      <w:r w:rsidR="003D6655">
        <w:rPr>
          <w:sz w:val="22"/>
          <w:szCs w:val="22"/>
        </w:rPr>
        <w:t xml:space="preserve"> </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0C974B52" w14:textId="32922811" w:rsidR="002D485A" w:rsidRDefault="00D036C6" w:rsidP="0029477E">
      <w:pPr>
        <w:pStyle w:val="ac"/>
        <w:spacing w:before="120"/>
        <w:rPr>
          <w:rFonts w:cs="Arial"/>
        </w:rPr>
      </w:pPr>
      <w:bookmarkStart w:id="5" w:name="_Ref178064866"/>
      <w:r>
        <w:rPr>
          <w:rFonts w:cs="Arial"/>
        </w:rPr>
        <w:t xml:space="preserve">This paper is to discuss the </w:t>
      </w:r>
      <w:r w:rsidR="00E41750" w:rsidRPr="00E41750">
        <w:rPr>
          <w:rFonts w:cs="Arial"/>
        </w:rPr>
        <w:t xml:space="preserve">mechanism for </w:t>
      </w:r>
      <w:proofErr w:type="spellStart"/>
      <w:r w:rsidR="00E41750" w:rsidRPr="00E41750">
        <w:rPr>
          <w:rFonts w:cs="Arial"/>
        </w:rPr>
        <w:t>sidelink</w:t>
      </w:r>
      <w:proofErr w:type="spellEnd"/>
      <w:r w:rsidR="00E41750" w:rsidRPr="00E41750">
        <w:rPr>
          <w:rFonts w:cs="Arial"/>
        </w:rPr>
        <w:t xml:space="preserve"> operation in predetermined geographic area(s) </w:t>
      </w:r>
      <w:r w:rsidR="00564032">
        <w:rPr>
          <w:rFonts w:cs="Arial"/>
        </w:rPr>
        <w:t>within</w:t>
      </w:r>
      <w:r w:rsidR="00E41750" w:rsidRPr="00E41750">
        <w:rPr>
          <w:rFonts w:cs="Arial"/>
        </w:rPr>
        <w:t xml:space="preserve"> non-ITS bands</w:t>
      </w:r>
      <w:r w:rsidR="0029477E">
        <w:rPr>
          <w:rFonts w:cs="Arial"/>
        </w:rPr>
        <w:t>.</w:t>
      </w:r>
    </w:p>
    <w:bookmarkEnd w:id="5"/>
    <w:p w14:paraId="2D0205C6" w14:textId="3B092987" w:rsidR="00E41750" w:rsidRDefault="00E41750" w:rsidP="008E7249">
      <w:pPr>
        <w:pBdr>
          <w:top w:val="single" w:sz="4" w:space="1" w:color="auto"/>
          <w:left w:val="single" w:sz="4" w:space="4" w:color="auto"/>
          <w:bottom w:val="single" w:sz="4" w:space="1" w:color="auto"/>
          <w:right w:val="single" w:sz="4" w:space="4" w:color="auto"/>
        </w:pBdr>
        <w:spacing w:after="180"/>
        <w:jc w:val="left"/>
        <w:rPr>
          <w:lang w:eastAsia="ko-KR"/>
        </w:rPr>
      </w:pPr>
      <w:r>
        <w:rPr>
          <w:lang w:eastAsia="ko-KR"/>
        </w:rPr>
        <w:t xml:space="preserve">5. Define mechanism to ensure </w:t>
      </w:r>
      <w:proofErr w:type="spellStart"/>
      <w:r>
        <w:rPr>
          <w:lang w:eastAsia="ko-KR"/>
        </w:rPr>
        <w:t>sidelink</w:t>
      </w:r>
      <w:proofErr w:type="spellEnd"/>
      <w:r>
        <w:rPr>
          <w:lang w:eastAsia="ko-KR"/>
        </w:rPr>
        <w:t xml:space="preserve"> operation can be confined to a predetermined geographic area(s) for a given frequency range within non-ITS bands [RAN2].</w:t>
      </w:r>
    </w:p>
    <w:p w14:paraId="41A4571B" w14:textId="77777777" w:rsidR="00E41750" w:rsidRDefault="00E41750" w:rsidP="008E7249">
      <w:pPr>
        <w:numPr>
          <w:ilvl w:val="0"/>
          <w:numId w:val="24"/>
        </w:numPr>
        <w:pBdr>
          <w:top w:val="single" w:sz="4" w:space="1" w:color="auto"/>
          <w:left w:val="single" w:sz="4" w:space="4" w:color="auto"/>
          <w:bottom w:val="single" w:sz="4" w:space="1" w:color="auto"/>
          <w:right w:val="single" w:sz="4" w:space="4" w:color="auto"/>
        </w:pBdr>
        <w:spacing w:after="180"/>
        <w:ind w:left="0" w:firstLine="0"/>
        <w:jc w:val="left"/>
        <w:rPr>
          <w:lang w:eastAsia="ko-KR"/>
        </w:rPr>
      </w:pPr>
      <w:r>
        <w:rPr>
          <w:lang w:eastAsia="ko-KR"/>
        </w:rPr>
        <w:t>This applies areas where there is no network coverage.</w:t>
      </w:r>
    </w:p>
    <w:p w14:paraId="5AD9C6B5" w14:textId="77777777" w:rsidR="001A3CEA" w:rsidRDefault="001A3CEA" w:rsidP="00276721">
      <w:pPr>
        <w:pStyle w:val="1"/>
      </w:pPr>
      <w:r>
        <w:t>Discussion</w:t>
      </w:r>
    </w:p>
    <w:p w14:paraId="0AC4E846" w14:textId="5229E13C" w:rsidR="001B6A80" w:rsidRDefault="00472C69" w:rsidP="00472C69">
      <w:r>
        <w:t>The mechanism</w:t>
      </w:r>
      <w:r w:rsidR="00814D91">
        <w:t>s</w:t>
      </w:r>
      <w:r>
        <w:t xml:space="preserve"> for V2X operation in predetermined geographic area(s) for a given frequency range within ITS bands are </w:t>
      </w:r>
      <w:r w:rsidR="000F6EA6">
        <w:t>already supported</w:t>
      </w:r>
      <w:r>
        <w:t xml:space="preserve"> in </w:t>
      </w:r>
      <w:r w:rsidR="001B6A80">
        <w:t>Rel-16</w:t>
      </w:r>
      <w:r>
        <w:t xml:space="preserve"> [</w:t>
      </w:r>
      <w:r w:rsidR="00CF2B07">
        <w:t>1</w:t>
      </w:r>
      <w:r>
        <w:t xml:space="preserve">]. </w:t>
      </w:r>
    </w:p>
    <w:p w14:paraId="421F11F9" w14:textId="0FDD4993" w:rsidR="001A3CEA" w:rsidRDefault="001A3CEA" w:rsidP="00472C69">
      <w:r>
        <w:rPr>
          <w:rFonts w:hint="eastAsia"/>
        </w:rPr>
        <w:t>A</w:t>
      </w:r>
      <w:r>
        <w:t>ccording to the</w:t>
      </w:r>
      <w:r w:rsidR="00472C69">
        <w:t xml:space="preserve"> </w:t>
      </w:r>
      <w:r w:rsidR="00556D2A">
        <w:t>existing</w:t>
      </w:r>
      <w:r>
        <w:t xml:space="preserve"> </w:t>
      </w:r>
      <w:r w:rsidR="00556D2A">
        <w:t>specifications</w:t>
      </w:r>
      <w:r>
        <w:t xml:space="preserve">, the basic </w:t>
      </w:r>
      <w:r w:rsidR="00472C69">
        <w:t>mechanism</w:t>
      </w:r>
      <w:r>
        <w:t xml:space="preserve"> is </w:t>
      </w:r>
      <w:r w:rsidR="00472C69">
        <w:t>summarised</w:t>
      </w:r>
      <w:r>
        <w:t xml:space="preserve"> </w:t>
      </w:r>
      <w:r w:rsidR="001B6A80">
        <w:rPr>
          <w:rFonts w:hint="eastAsia"/>
        </w:rPr>
        <w:t>i</w:t>
      </w:r>
      <w:r w:rsidR="001B6A80">
        <w:t>n stage-2, i.e., 23.287</w:t>
      </w:r>
      <w:r w:rsidR="00193B48">
        <w:t xml:space="preserve"> </w:t>
      </w:r>
      <w:r w:rsidR="00193B48">
        <w:rPr>
          <w:rFonts w:hint="eastAsia"/>
        </w:rPr>
        <w:t>[</w:t>
      </w:r>
      <w:r w:rsidR="00193B48">
        <w:t>1]</w:t>
      </w:r>
      <w:r w:rsidR="001B6A80">
        <w:t xml:space="preserve">, </w:t>
      </w:r>
      <w:r>
        <w:t>as follows</w:t>
      </w:r>
    </w:p>
    <w:p w14:paraId="5F9CD9C5" w14:textId="77777777" w:rsidR="005B794C" w:rsidRPr="002E0F31" w:rsidRDefault="005B794C" w:rsidP="005B794C">
      <w:pPr>
        <w:pBdr>
          <w:top w:val="single" w:sz="4" w:space="1" w:color="auto"/>
          <w:left w:val="single" w:sz="4" w:space="4" w:color="auto"/>
          <w:bottom w:val="single" w:sz="4" w:space="1" w:color="auto"/>
          <w:right w:val="single" w:sz="4" w:space="4" w:color="auto"/>
        </w:pBdr>
        <w:spacing w:after="180"/>
        <w:jc w:val="left"/>
        <w:rPr>
          <w:lang w:eastAsia="ko-KR"/>
        </w:rPr>
      </w:pPr>
      <w:r w:rsidRPr="002E0F31">
        <w:rPr>
          <w:lang w:eastAsia="ko-KR"/>
        </w:rPr>
        <w:t>The following sets of information for V2X communications over PC5 reference point is provisioned to the UE:</w:t>
      </w:r>
    </w:p>
    <w:p w14:paraId="202B2F75" w14:textId="7D86FCAD" w:rsidR="005B794C" w:rsidRPr="002E0F31" w:rsidRDefault="00E050BD" w:rsidP="005B794C">
      <w:pPr>
        <w:pBdr>
          <w:top w:val="single" w:sz="4" w:space="1" w:color="auto"/>
          <w:left w:val="single" w:sz="4" w:space="4" w:color="auto"/>
          <w:bottom w:val="single" w:sz="4" w:space="1" w:color="auto"/>
          <w:right w:val="single" w:sz="4" w:space="4" w:color="auto"/>
        </w:pBdr>
        <w:spacing w:after="180"/>
        <w:jc w:val="left"/>
        <w:rPr>
          <w:lang w:eastAsia="ko-KR"/>
        </w:rPr>
      </w:pPr>
      <w:r>
        <w:rPr>
          <w:rFonts w:hint="eastAsia"/>
        </w:rPr>
        <w:t>[</w:t>
      </w:r>
      <w:r w:rsidR="00341085">
        <w:rPr>
          <w:lang w:eastAsia="ko-KR"/>
        </w:rPr>
        <w:t>…</w:t>
      </w:r>
      <w:r>
        <w:rPr>
          <w:lang w:eastAsia="ko-KR"/>
        </w:rPr>
        <w:t>)</w:t>
      </w:r>
    </w:p>
    <w:p w14:paraId="33C85DF7" w14:textId="6D7F8922" w:rsidR="005B794C" w:rsidRPr="002E0F31" w:rsidRDefault="005B794C" w:rsidP="005B794C">
      <w:pPr>
        <w:pBdr>
          <w:top w:val="single" w:sz="4" w:space="1" w:color="auto"/>
          <w:left w:val="single" w:sz="4" w:space="4" w:color="auto"/>
          <w:bottom w:val="single" w:sz="4" w:space="1" w:color="auto"/>
          <w:right w:val="single" w:sz="4" w:space="4" w:color="auto"/>
        </w:pBdr>
        <w:spacing w:after="180"/>
        <w:jc w:val="left"/>
        <w:rPr>
          <w:lang w:eastAsia="ko-KR"/>
        </w:rPr>
      </w:pPr>
      <w:r w:rsidRPr="002E0F31">
        <w:rPr>
          <w:lang w:eastAsia="ko-KR"/>
        </w:rPr>
        <w:t>2)</w:t>
      </w:r>
      <w:r w:rsidR="00341085" w:rsidRPr="00341085">
        <w:rPr>
          <w:lang w:eastAsia="ko-KR"/>
        </w:rPr>
        <w:t xml:space="preserve"> </w:t>
      </w:r>
      <w:r w:rsidRPr="002E0F31">
        <w:rPr>
          <w:lang w:eastAsia="ko-KR"/>
        </w:rPr>
        <w:t>Radio parameters when the UE is "not served by E-UTRA" and "not served by NR":</w:t>
      </w:r>
    </w:p>
    <w:p w14:paraId="711400BC" w14:textId="367157E9" w:rsidR="00845812" w:rsidRDefault="005B794C" w:rsidP="005B794C">
      <w:pPr>
        <w:pBdr>
          <w:top w:val="single" w:sz="4" w:space="1" w:color="auto"/>
          <w:left w:val="single" w:sz="4" w:space="4" w:color="auto"/>
          <w:bottom w:val="single" w:sz="4" w:space="1" w:color="auto"/>
          <w:right w:val="single" w:sz="4" w:space="4" w:color="auto"/>
        </w:pBdr>
        <w:spacing w:after="180"/>
        <w:jc w:val="left"/>
        <w:rPr>
          <w:lang w:eastAsia="ko-KR"/>
        </w:rPr>
      </w:pPr>
      <w:r w:rsidRPr="002E0F31">
        <w:rPr>
          <w:lang w:eastAsia="ko-KR"/>
        </w:rPr>
        <w:t xml:space="preserve">-Includes the radio parameters per PC5 RAT (i.e. LTE PC5, NR PC5) with Geographical Area(s) and an indication of whether they are "operator managed" or "non-operator managed" </w:t>
      </w:r>
      <w:r w:rsidR="00341085">
        <w:rPr>
          <w:lang w:eastAsia="ko-KR"/>
        </w:rPr>
        <w:t>…</w:t>
      </w:r>
      <w:r w:rsidRPr="002E0F31">
        <w:rPr>
          <w:lang w:eastAsia="ko-KR"/>
        </w:rPr>
        <w:t xml:space="preserve">. </w:t>
      </w:r>
      <w:r w:rsidRPr="002E0F31">
        <w:rPr>
          <w:highlight w:val="green"/>
          <w:lang w:eastAsia="ko-KR"/>
        </w:rPr>
        <w:t>The UE uses the radio parameters to perform V2X communications over PC5 reference point when "not served by E-UTRA" and "not served by NR" only if the UE can reliably locate itself in the corresponding Geographical Area</w:t>
      </w:r>
      <w:r w:rsidRPr="002E0F31">
        <w:rPr>
          <w:lang w:eastAsia="ko-KR"/>
        </w:rPr>
        <w:t>.</w:t>
      </w:r>
      <w:r w:rsidR="00341085">
        <w:rPr>
          <w:lang w:eastAsia="ko-KR"/>
        </w:rPr>
        <w:t xml:space="preserve"> </w:t>
      </w:r>
      <w:r w:rsidRPr="002E0F31">
        <w:rPr>
          <w:lang w:eastAsia="ko-KR"/>
        </w:rPr>
        <w:t>Otherwise, the UE is not authorized to transmit.</w:t>
      </w:r>
      <w:r w:rsidR="00341085" w:rsidRPr="00341085" w:rsidDel="00341085">
        <w:rPr>
          <w:lang w:eastAsia="ko-KR"/>
        </w:rPr>
        <w:t xml:space="preserve"> </w:t>
      </w:r>
    </w:p>
    <w:p w14:paraId="0ECFB45A" w14:textId="67682E1D" w:rsidR="00341085" w:rsidRDefault="00E050BD" w:rsidP="005B794C">
      <w:pPr>
        <w:pBdr>
          <w:top w:val="single" w:sz="4" w:space="1" w:color="auto"/>
          <w:left w:val="single" w:sz="4" w:space="4" w:color="auto"/>
          <w:bottom w:val="single" w:sz="4" w:space="1" w:color="auto"/>
          <w:right w:val="single" w:sz="4" w:space="4" w:color="auto"/>
        </w:pBdr>
        <w:spacing w:after="180"/>
        <w:jc w:val="left"/>
        <w:rPr>
          <w:rFonts w:eastAsiaTheme="minorEastAsia"/>
        </w:rPr>
      </w:pPr>
      <w:r>
        <w:rPr>
          <w:rFonts w:eastAsiaTheme="minorEastAsia"/>
        </w:rPr>
        <w:t>[</w:t>
      </w:r>
      <w:r w:rsidR="00341085">
        <w:rPr>
          <w:rFonts w:eastAsiaTheme="minorEastAsia"/>
        </w:rPr>
        <w:t>…</w:t>
      </w:r>
      <w:r>
        <w:rPr>
          <w:rFonts w:eastAsiaTheme="minorEastAsia"/>
        </w:rPr>
        <w:t>)</w:t>
      </w:r>
    </w:p>
    <w:p w14:paraId="2C511EC2" w14:textId="652AEC67" w:rsidR="00341085" w:rsidRPr="002E0F31" w:rsidRDefault="00341085" w:rsidP="002E0F31">
      <w:pPr>
        <w:pBdr>
          <w:top w:val="single" w:sz="4" w:space="1" w:color="auto"/>
          <w:left w:val="single" w:sz="4" w:space="4" w:color="auto"/>
          <w:bottom w:val="single" w:sz="4" w:space="1" w:color="auto"/>
          <w:right w:val="single" w:sz="4" w:space="4" w:color="auto"/>
        </w:pBdr>
        <w:spacing w:after="180"/>
        <w:jc w:val="left"/>
        <w:rPr>
          <w:rFonts w:eastAsiaTheme="minorEastAsia"/>
        </w:rPr>
      </w:pPr>
      <w:r w:rsidRPr="00490934">
        <w:t xml:space="preserve">If the UE does not find any such cell in any PLMN, then the UE shall consider itself "not served by NR or E-UTRA" and </w:t>
      </w:r>
      <w:r w:rsidRPr="002E0F31">
        <w:rPr>
          <w:highlight w:val="green"/>
        </w:rPr>
        <w:t>use radio resources provisioned in the ME or the UICC</w:t>
      </w:r>
      <w:r w:rsidRPr="00490934">
        <w:t>. If no such provision exists in the ME or the UICC or the provision does not authorize V2X communications over PC5 reference point, then the UE is not authorized to transmit.</w:t>
      </w:r>
    </w:p>
    <w:p w14:paraId="178AAEE2" w14:textId="10F0436F" w:rsidR="00084F4B" w:rsidRDefault="00581488" w:rsidP="00084F4B">
      <w:pPr>
        <w:pStyle w:val="Observation"/>
        <w:numPr>
          <w:ilvl w:val="0"/>
          <w:numId w:val="0"/>
        </w:numPr>
        <w:tabs>
          <w:tab w:val="clear" w:pos="1304"/>
        </w:tabs>
        <w:rPr>
          <w:b w:val="0"/>
          <w:bCs w:val="0"/>
        </w:rPr>
      </w:pPr>
      <w:bookmarkStart w:id="6" w:name="_Toc53500214"/>
      <w:bookmarkStart w:id="7" w:name="_Hlk53496762"/>
      <w:r w:rsidRPr="00581488">
        <w:rPr>
          <w:b w:val="0"/>
          <w:bCs w:val="0"/>
        </w:rPr>
        <w:t>More specifically</w:t>
      </w:r>
      <w:r>
        <w:rPr>
          <w:b w:val="0"/>
          <w:bCs w:val="0"/>
        </w:rPr>
        <w:t xml:space="preserve">, </w:t>
      </w:r>
      <w:r w:rsidR="001B6A80">
        <w:rPr>
          <w:b w:val="0"/>
          <w:bCs w:val="0"/>
        </w:rPr>
        <w:t xml:space="preserve">in stage-3, </w:t>
      </w:r>
      <w:r>
        <w:rPr>
          <w:b w:val="0"/>
          <w:bCs w:val="0"/>
        </w:rPr>
        <w:t>t</w:t>
      </w:r>
      <w:r w:rsidRPr="00084F4B">
        <w:rPr>
          <w:b w:val="0"/>
          <w:bCs w:val="0"/>
        </w:rPr>
        <w:t>he</w:t>
      </w:r>
      <w:r>
        <w:rPr>
          <w:b w:val="0"/>
          <w:bCs w:val="0"/>
        </w:rPr>
        <w:t xml:space="preserve"> ways to obtain the parameters </w:t>
      </w:r>
      <w:r w:rsidR="00084F4B">
        <w:rPr>
          <w:b w:val="0"/>
          <w:bCs w:val="0"/>
        </w:rPr>
        <w:t>for V2X communications over PC5 reference points are covered in 24.587 [2]</w:t>
      </w:r>
      <w:r w:rsidR="00B65247">
        <w:rPr>
          <w:b w:val="0"/>
          <w:bCs w:val="0"/>
        </w:rPr>
        <w:t>, and t</w:t>
      </w:r>
      <w:r w:rsidR="00084F4B">
        <w:rPr>
          <w:b w:val="0"/>
          <w:bCs w:val="0"/>
        </w:rPr>
        <w:t>he</w:t>
      </w:r>
      <w:r w:rsidR="00D4048F">
        <w:rPr>
          <w:b w:val="0"/>
          <w:bCs w:val="0"/>
        </w:rPr>
        <w:t xml:space="preserve"> </w:t>
      </w:r>
      <w:r w:rsidR="00B65247">
        <w:rPr>
          <w:b w:val="0"/>
          <w:bCs w:val="0"/>
        </w:rPr>
        <w:t xml:space="preserve">V2X configuration data related </w:t>
      </w:r>
      <w:r w:rsidR="00D4048F">
        <w:rPr>
          <w:b w:val="0"/>
          <w:bCs w:val="0"/>
        </w:rPr>
        <w:t>elementary file</w:t>
      </w:r>
      <w:r w:rsidR="00B65247">
        <w:rPr>
          <w:b w:val="0"/>
          <w:bCs w:val="0"/>
        </w:rPr>
        <w:t>s</w:t>
      </w:r>
      <w:r w:rsidR="00D4048F">
        <w:rPr>
          <w:b w:val="0"/>
          <w:bCs w:val="0"/>
        </w:rPr>
        <w:t xml:space="preserve"> </w:t>
      </w:r>
      <w:r w:rsidR="00B65247">
        <w:rPr>
          <w:b w:val="0"/>
          <w:bCs w:val="0"/>
        </w:rPr>
        <w:t>configured in USIM</w:t>
      </w:r>
      <w:r w:rsidR="00084F4B">
        <w:rPr>
          <w:b w:val="0"/>
          <w:bCs w:val="0"/>
        </w:rPr>
        <w:t xml:space="preserve"> </w:t>
      </w:r>
      <w:r w:rsidR="00B65247">
        <w:rPr>
          <w:b w:val="0"/>
          <w:bCs w:val="0"/>
        </w:rPr>
        <w:t>are defined in 31.102</w:t>
      </w:r>
      <w:r w:rsidR="0092563B">
        <w:rPr>
          <w:b w:val="0"/>
          <w:bCs w:val="0"/>
        </w:rPr>
        <w:t xml:space="preserve"> [3]</w:t>
      </w:r>
      <w:r w:rsidR="00B65247">
        <w:rPr>
          <w:b w:val="0"/>
          <w:bCs w:val="0"/>
        </w:rPr>
        <w:t xml:space="preserve">. The V2X configuration data related files </w:t>
      </w:r>
      <w:r w:rsidR="00B65247" w:rsidRPr="00B65247">
        <w:rPr>
          <w:b w:val="0"/>
          <w:bCs w:val="0"/>
        </w:rPr>
        <w:t>contains V2X in 5GS UE policies over PC5. The format of the V2X in 5GS UE policies over PC5 are specified in</w:t>
      </w:r>
      <w:r w:rsidR="00084F4B">
        <w:rPr>
          <w:b w:val="0"/>
          <w:bCs w:val="0"/>
        </w:rPr>
        <w:t xml:space="preserve"> 24.588 [</w:t>
      </w:r>
      <w:r w:rsidR="0092563B">
        <w:rPr>
          <w:b w:val="0"/>
          <w:bCs w:val="0"/>
        </w:rPr>
        <w:t>4</w:t>
      </w:r>
      <w:r w:rsidR="00084F4B">
        <w:rPr>
          <w:b w:val="0"/>
          <w:bCs w:val="0"/>
        </w:rPr>
        <w:t>]</w:t>
      </w:r>
      <w:r w:rsidR="00C21A20">
        <w:rPr>
          <w:b w:val="0"/>
          <w:bCs w:val="0"/>
        </w:rPr>
        <w:t>:</w:t>
      </w:r>
    </w:p>
    <w:p w14:paraId="27748871" w14:textId="6C57A7C7" w:rsidR="00C26138" w:rsidRDefault="00B5086D" w:rsidP="002E0F31">
      <w:pPr>
        <w:pBdr>
          <w:top w:val="single" w:sz="4" w:space="1" w:color="auto"/>
          <w:left w:val="single" w:sz="4" w:space="4" w:color="auto"/>
          <w:bottom w:val="single" w:sz="4" w:space="1" w:color="auto"/>
          <w:right w:val="single" w:sz="4" w:space="4" w:color="auto"/>
        </w:pBdr>
        <w:spacing w:after="180"/>
        <w:jc w:val="left"/>
        <w:rPr>
          <w:lang w:eastAsia="ko-KR"/>
        </w:rPr>
      </w:pPr>
      <w:r>
        <w:rPr>
          <w:lang w:eastAsia="ko-KR"/>
        </w:rPr>
        <w:t xml:space="preserve">In 5GS, the parameters for V2X communications over PC5 and </w:t>
      </w:r>
      <w:proofErr w:type="spellStart"/>
      <w:r>
        <w:rPr>
          <w:lang w:eastAsia="ko-KR"/>
        </w:rPr>
        <w:t>Uu</w:t>
      </w:r>
      <w:proofErr w:type="spellEnd"/>
      <w:r>
        <w:rPr>
          <w:lang w:eastAsia="ko-KR"/>
        </w:rPr>
        <w:t xml:space="preserve"> reference points may be made available to the UE in</w:t>
      </w:r>
      <w:r>
        <w:rPr>
          <w:rFonts w:eastAsiaTheme="minorEastAsia" w:hint="eastAsia"/>
        </w:rPr>
        <w:t xml:space="preserve"> </w:t>
      </w:r>
      <w:r>
        <w:rPr>
          <w:lang w:eastAsia="ko-KR"/>
        </w:rPr>
        <w:t>following ways:</w:t>
      </w:r>
    </w:p>
    <w:p w14:paraId="3CA32F18" w14:textId="77777777" w:rsidR="00C26138" w:rsidRDefault="00C26138" w:rsidP="002E0F31">
      <w:pPr>
        <w:pBdr>
          <w:top w:val="single" w:sz="4" w:space="1" w:color="auto"/>
          <w:left w:val="single" w:sz="4" w:space="4" w:color="auto"/>
          <w:bottom w:val="single" w:sz="4" w:space="1" w:color="auto"/>
          <w:right w:val="single" w:sz="4" w:space="4" w:color="auto"/>
        </w:pBdr>
        <w:spacing w:after="180"/>
        <w:jc w:val="left"/>
        <w:rPr>
          <w:lang w:eastAsia="ko-KR"/>
        </w:rPr>
      </w:pPr>
      <w:r w:rsidRPr="00C26138">
        <w:rPr>
          <w:highlight w:val="green"/>
          <w:lang w:eastAsia="ko-KR"/>
        </w:rPr>
        <w:t>a) pre-configured in the ME;</w:t>
      </w:r>
    </w:p>
    <w:p w14:paraId="5B526F9A" w14:textId="77777777" w:rsidR="00C26138" w:rsidRDefault="00C26138" w:rsidP="002E0F31">
      <w:pPr>
        <w:pBdr>
          <w:top w:val="single" w:sz="4" w:space="1" w:color="auto"/>
          <w:left w:val="single" w:sz="4" w:space="4" w:color="auto"/>
          <w:bottom w:val="single" w:sz="4" w:space="1" w:color="auto"/>
          <w:right w:val="single" w:sz="4" w:space="4" w:color="auto"/>
        </w:pBdr>
        <w:spacing w:after="180"/>
        <w:jc w:val="left"/>
        <w:rPr>
          <w:lang w:eastAsia="ko-KR"/>
        </w:rPr>
      </w:pPr>
      <w:r w:rsidRPr="00C26138">
        <w:rPr>
          <w:highlight w:val="green"/>
          <w:lang w:eastAsia="ko-KR"/>
        </w:rPr>
        <w:lastRenderedPageBreak/>
        <w:t>b) configured in the USIM;</w:t>
      </w:r>
    </w:p>
    <w:p w14:paraId="04905684" w14:textId="79CC6ECE" w:rsidR="00C26138" w:rsidRDefault="00C26138" w:rsidP="002E0F31">
      <w:pPr>
        <w:pBdr>
          <w:top w:val="single" w:sz="4" w:space="1" w:color="auto"/>
          <w:left w:val="single" w:sz="4" w:space="4" w:color="auto"/>
          <w:bottom w:val="single" w:sz="4" w:space="1" w:color="auto"/>
          <w:right w:val="single" w:sz="4" w:space="4" w:color="auto"/>
        </w:pBdr>
        <w:spacing w:after="180"/>
        <w:jc w:val="left"/>
        <w:rPr>
          <w:lang w:eastAsia="ko-KR"/>
        </w:rPr>
      </w:pPr>
      <w:r>
        <w:rPr>
          <w:lang w:eastAsia="ko-KR"/>
        </w:rPr>
        <w:t>c) provided as a V2XP using the UE policy delivery service;</w:t>
      </w:r>
    </w:p>
    <w:p w14:paraId="3053CB30" w14:textId="77777777" w:rsidR="00C26138" w:rsidRDefault="00C26138" w:rsidP="002E0F31">
      <w:pPr>
        <w:pBdr>
          <w:top w:val="single" w:sz="4" w:space="1" w:color="auto"/>
          <w:left w:val="single" w:sz="4" w:space="4" w:color="auto"/>
          <w:bottom w:val="single" w:sz="4" w:space="1" w:color="auto"/>
          <w:right w:val="single" w:sz="4" w:space="4" w:color="auto"/>
        </w:pBdr>
        <w:spacing w:after="180"/>
        <w:jc w:val="left"/>
        <w:rPr>
          <w:lang w:eastAsia="ko-KR"/>
        </w:rPr>
      </w:pPr>
      <w:r>
        <w:rPr>
          <w:lang w:eastAsia="ko-KR"/>
        </w:rPr>
        <w:t>d) provided by a V2X application server via V1 reference point; or</w:t>
      </w:r>
    </w:p>
    <w:p w14:paraId="19A6C3FC" w14:textId="77777777" w:rsidR="00C26138" w:rsidRDefault="00C26138" w:rsidP="002E0F31">
      <w:pPr>
        <w:pBdr>
          <w:top w:val="single" w:sz="4" w:space="1" w:color="auto"/>
          <w:left w:val="single" w:sz="4" w:space="4" w:color="auto"/>
          <w:bottom w:val="single" w:sz="4" w:space="1" w:color="auto"/>
          <w:right w:val="single" w:sz="4" w:space="4" w:color="auto"/>
        </w:pBdr>
        <w:spacing w:after="180"/>
        <w:jc w:val="left"/>
        <w:rPr>
          <w:lang w:eastAsia="ko-KR"/>
        </w:rPr>
      </w:pPr>
      <w:r>
        <w:rPr>
          <w:lang w:eastAsia="ko-KR"/>
        </w:rPr>
        <w:t>e) a combination of case d and either a, b, c or d above</w:t>
      </w:r>
    </w:p>
    <w:p w14:paraId="491BE4E1" w14:textId="73C8CA1C" w:rsidR="00124934" w:rsidRPr="002E0F31" w:rsidRDefault="00124934" w:rsidP="002E0F31">
      <w:pPr>
        <w:rPr>
          <w:lang w:eastAsia="ko-KR"/>
        </w:rPr>
      </w:pPr>
      <w:r>
        <w:rPr>
          <w:lang w:eastAsia="ko-KR"/>
        </w:rPr>
        <w:t>Figure 1 shows the</w:t>
      </w:r>
      <w:r w:rsidRPr="00124934">
        <w:rPr>
          <w:lang w:eastAsia="ko-KR"/>
        </w:rPr>
        <w:t xml:space="preserve"> </w:t>
      </w:r>
      <w:r>
        <w:rPr>
          <w:lang w:eastAsia="ko-KR"/>
        </w:rPr>
        <w:t>element file (EF)</w:t>
      </w:r>
      <w:r w:rsidRPr="00124934">
        <w:rPr>
          <w:lang w:eastAsia="ko-KR"/>
        </w:rPr>
        <w:t xml:space="preserve"> contains V2X in 5GS UE policies over PC5</w:t>
      </w:r>
    </w:p>
    <w:p w14:paraId="24898361" w14:textId="7322724F" w:rsidR="00124934" w:rsidRPr="002E0F31" w:rsidRDefault="00124934" w:rsidP="002E0F31">
      <w:pPr>
        <w:spacing w:after="180"/>
        <w:jc w:val="center"/>
        <w:rPr>
          <w:lang w:eastAsia="ko-KR"/>
        </w:rPr>
      </w:pPr>
      <w:r>
        <w:rPr>
          <w:noProof/>
        </w:rPr>
        <w:drawing>
          <wp:inline distT="0" distB="0" distL="0" distR="0" wp14:anchorId="60CAFC96" wp14:editId="6648FE4D">
            <wp:extent cx="4642089" cy="1657435"/>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42089" cy="1657435"/>
                    </a:xfrm>
                    <a:prstGeom prst="rect">
                      <a:avLst/>
                    </a:prstGeom>
                  </pic:spPr>
                </pic:pic>
              </a:graphicData>
            </a:graphic>
          </wp:inline>
        </w:drawing>
      </w:r>
    </w:p>
    <w:p w14:paraId="0B88263B" w14:textId="6380D430" w:rsidR="00124934" w:rsidRPr="002E0F31" w:rsidRDefault="00124934" w:rsidP="002E0F31">
      <w:pPr>
        <w:spacing w:after="180"/>
        <w:jc w:val="center"/>
        <w:rPr>
          <w:b/>
        </w:rPr>
      </w:pPr>
      <w:r w:rsidRPr="002E0F31">
        <w:rPr>
          <w:b/>
        </w:rPr>
        <w:t>Figure 1 The EF contains V2X in 5GS UE policies over PC5</w:t>
      </w:r>
      <w:r w:rsidRPr="002E0F31">
        <w:rPr>
          <w:b/>
          <w:vertAlign w:val="superscript"/>
        </w:rPr>
        <w:t>[</w:t>
      </w:r>
      <w:r w:rsidR="0092563B">
        <w:rPr>
          <w:b/>
          <w:vertAlign w:val="superscript"/>
        </w:rPr>
        <w:t>3</w:t>
      </w:r>
      <w:r w:rsidRPr="002E0F31">
        <w:rPr>
          <w:b/>
          <w:vertAlign w:val="superscript"/>
        </w:rPr>
        <w:t>]</w:t>
      </w:r>
    </w:p>
    <w:p w14:paraId="20141369" w14:textId="07019EB9" w:rsidR="00B363C6" w:rsidRPr="002E0F31" w:rsidRDefault="0092563B" w:rsidP="002E0F31">
      <w:r>
        <w:rPr>
          <w:lang w:eastAsia="ko-KR"/>
        </w:rPr>
        <w:t>Further</w:t>
      </w:r>
      <w:r w:rsidR="001B6A80">
        <w:rPr>
          <w:lang w:eastAsia="ko-KR"/>
        </w:rPr>
        <w:t>more</w:t>
      </w:r>
      <w:r>
        <w:rPr>
          <w:lang w:eastAsia="ko-KR"/>
        </w:rPr>
        <w:t>, t</w:t>
      </w:r>
      <w:r w:rsidR="00B363C6" w:rsidRPr="00B363C6">
        <w:rPr>
          <w:lang w:eastAsia="ko-KR"/>
        </w:rPr>
        <w:t>he UE policies for V2X communication over PC5 are</w:t>
      </w:r>
      <w:r>
        <w:rPr>
          <w:lang w:eastAsia="ko-KR"/>
        </w:rPr>
        <w:t xml:space="preserve"> specified and</w:t>
      </w:r>
      <w:r w:rsidR="00B363C6" w:rsidRPr="00B363C6">
        <w:rPr>
          <w:lang w:eastAsia="ko-KR"/>
        </w:rPr>
        <w:t xml:space="preserve"> </w:t>
      </w:r>
      <w:r>
        <w:rPr>
          <w:lang w:eastAsia="ko-KR"/>
        </w:rPr>
        <w:t>en</w:t>
      </w:r>
      <w:r w:rsidR="00B363C6" w:rsidRPr="00B363C6">
        <w:rPr>
          <w:lang w:eastAsia="ko-KR"/>
        </w:rPr>
        <w:t>coded in 24.588 as shown in Fig</w:t>
      </w:r>
      <w:r>
        <w:rPr>
          <w:lang w:eastAsia="ko-KR"/>
        </w:rPr>
        <w:t>ure 2</w:t>
      </w:r>
      <w:r w:rsidR="00B363C6" w:rsidRPr="00B363C6">
        <w:rPr>
          <w:lang w:eastAsia="ko-KR"/>
        </w:rPr>
        <w:t>.</w:t>
      </w:r>
    </w:p>
    <w:p w14:paraId="0B64AD64" w14:textId="68D46CA9" w:rsidR="00B363C6" w:rsidRDefault="00B363C6" w:rsidP="002E0F31">
      <w:pPr>
        <w:spacing w:after="180"/>
        <w:ind w:firstLineChars="200" w:firstLine="400"/>
        <w:jc w:val="center"/>
        <w:rPr>
          <w:rFonts w:eastAsia="Malgun Gothic"/>
          <w:highlight w:val="green"/>
          <w:lang w:eastAsia="ko-KR"/>
        </w:rPr>
      </w:pPr>
      <w:r>
        <w:rPr>
          <w:noProof/>
        </w:rPr>
        <w:drawing>
          <wp:inline distT="0" distB="0" distL="0" distR="0" wp14:anchorId="72A4E5B7" wp14:editId="19B7201A">
            <wp:extent cx="3479574" cy="434975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1211"/>
                    <a:stretch/>
                  </pic:blipFill>
                  <pic:spPr bwMode="auto">
                    <a:xfrm>
                      <a:off x="0" y="0"/>
                      <a:ext cx="3485767" cy="4357492"/>
                    </a:xfrm>
                    <a:prstGeom prst="rect">
                      <a:avLst/>
                    </a:prstGeom>
                    <a:ln>
                      <a:noFill/>
                    </a:ln>
                    <a:extLst>
                      <a:ext uri="{53640926-AAD7-44D8-BBD7-CCE9431645EC}">
                        <a14:shadowObscured xmlns:a14="http://schemas.microsoft.com/office/drawing/2010/main"/>
                      </a:ext>
                    </a:extLst>
                  </pic:spPr>
                </pic:pic>
              </a:graphicData>
            </a:graphic>
          </wp:inline>
        </w:drawing>
      </w:r>
    </w:p>
    <w:p w14:paraId="38598508" w14:textId="57777CC0" w:rsidR="00B363C6" w:rsidRPr="002E0F31" w:rsidRDefault="00B363C6" w:rsidP="002E0F31">
      <w:pPr>
        <w:spacing w:after="180"/>
        <w:ind w:firstLineChars="200" w:firstLine="400"/>
        <w:jc w:val="center"/>
        <w:rPr>
          <w:rFonts w:eastAsiaTheme="minorEastAsia"/>
          <w:b/>
        </w:rPr>
      </w:pPr>
      <w:r w:rsidRPr="002E0F31">
        <w:rPr>
          <w:rFonts w:eastAsiaTheme="minorEastAsia"/>
          <w:b/>
        </w:rPr>
        <w:t>Fig</w:t>
      </w:r>
      <w:r>
        <w:rPr>
          <w:rFonts w:eastAsiaTheme="minorEastAsia"/>
          <w:b/>
        </w:rPr>
        <w:t xml:space="preserve">ure </w:t>
      </w:r>
      <w:r w:rsidR="0092563B">
        <w:rPr>
          <w:rFonts w:eastAsiaTheme="minorEastAsia"/>
          <w:b/>
        </w:rPr>
        <w:t>2</w:t>
      </w:r>
      <w:r w:rsidRPr="002E0F31">
        <w:rPr>
          <w:rFonts w:eastAsiaTheme="minorEastAsia"/>
          <w:b/>
        </w:rPr>
        <w:t xml:space="preserve"> V2X policy information over PC5</w:t>
      </w:r>
      <w:r w:rsidR="0092563B" w:rsidRPr="002E0F31">
        <w:rPr>
          <w:rFonts w:eastAsiaTheme="minorEastAsia"/>
          <w:b/>
          <w:vertAlign w:val="superscript"/>
        </w:rPr>
        <w:t>[</w:t>
      </w:r>
      <w:r w:rsidR="0092563B">
        <w:rPr>
          <w:rFonts w:eastAsiaTheme="minorEastAsia"/>
          <w:b/>
          <w:vertAlign w:val="superscript"/>
        </w:rPr>
        <w:t>4</w:t>
      </w:r>
      <w:r w:rsidR="0092563B" w:rsidRPr="002E0F31">
        <w:rPr>
          <w:rFonts w:eastAsiaTheme="minorEastAsia"/>
          <w:b/>
          <w:vertAlign w:val="superscript"/>
        </w:rPr>
        <w:t>]</w:t>
      </w:r>
    </w:p>
    <w:p w14:paraId="59773599" w14:textId="1220E486" w:rsidR="00B363C6" w:rsidRPr="001B6A80" w:rsidRDefault="00B363C6" w:rsidP="002E0F31">
      <w:r w:rsidRPr="00B363C6">
        <w:t>As shown in Fig</w:t>
      </w:r>
      <w:r>
        <w:t xml:space="preserve">ure </w:t>
      </w:r>
      <w:r w:rsidR="0092563B">
        <w:t>2</w:t>
      </w:r>
      <w:r w:rsidRPr="00B363C6">
        <w:t>, there is a “Not served by E-UTRA and not served by NR” field contains configuration parameters for V2X communication over PC5 when the UE is not served by E-UTRA or NR. The specific format of this field is as follows</w:t>
      </w:r>
      <w:r>
        <w:t>:</w:t>
      </w:r>
    </w:p>
    <w:p w14:paraId="0CA9001A" w14:textId="297B739B" w:rsidR="00B363C6" w:rsidRDefault="00B363C6" w:rsidP="002E0F31">
      <w:pPr>
        <w:spacing w:after="180"/>
        <w:ind w:firstLineChars="200" w:firstLine="400"/>
        <w:jc w:val="center"/>
        <w:rPr>
          <w:rFonts w:eastAsiaTheme="minorEastAsia"/>
        </w:rPr>
      </w:pPr>
      <w:r>
        <w:rPr>
          <w:noProof/>
        </w:rPr>
        <w:lastRenderedPageBreak/>
        <w:drawing>
          <wp:inline distT="0" distB="0" distL="0" distR="0" wp14:anchorId="432386B7" wp14:editId="44F40148">
            <wp:extent cx="3606985" cy="215911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6985" cy="2159111"/>
                    </a:xfrm>
                    <a:prstGeom prst="rect">
                      <a:avLst/>
                    </a:prstGeom>
                  </pic:spPr>
                </pic:pic>
              </a:graphicData>
            </a:graphic>
          </wp:inline>
        </w:drawing>
      </w:r>
    </w:p>
    <w:p w14:paraId="000EC8DF" w14:textId="71313220" w:rsidR="00B363C6" w:rsidRPr="002E0F31" w:rsidRDefault="00B363C6" w:rsidP="002E0F31">
      <w:pPr>
        <w:spacing w:after="180"/>
        <w:ind w:firstLineChars="200" w:firstLine="400"/>
        <w:jc w:val="center"/>
        <w:rPr>
          <w:rFonts w:eastAsiaTheme="minorEastAsia"/>
          <w:b/>
        </w:rPr>
      </w:pPr>
      <w:r w:rsidRPr="002E0F31">
        <w:rPr>
          <w:rFonts w:eastAsiaTheme="minorEastAsia"/>
          <w:b/>
        </w:rPr>
        <w:t xml:space="preserve">Figure </w:t>
      </w:r>
      <w:r w:rsidR="0092563B">
        <w:rPr>
          <w:rFonts w:eastAsiaTheme="minorEastAsia"/>
          <w:b/>
        </w:rPr>
        <w:t>3</w:t>
      </w:r>
      <w:r w:rsidRPr="002E0F31">
        <w:rPr>
          <w:rFonts w:eastAsiaTheme="minorEastAsia"/>
          <w:b/>
        </w:rPr>
        <w:t xml:space="preserve"> Not served by </w:t>
      </w:r>
      <w:r w:rsidR="00AA36F0" w:rsidRPr="002E0F31">
        <w:rPr>
          <w:rFonts w:eastAsiaTheme="minorEastAsia"/>
          <w:b/>
        </w:rPr>
        <w:t>E-UTRA and not served by NR</w:t>
      </w:r>
      <w:r w:rsidR="0092563B" w:rsidRPr="002E0F31">
        <w:rPr>
          <w:rFonts w:eastAsiaTheme="minorEastAsia"/>
          <w:b/>
          <w:vertAlign w:val="superscript"/>
        </w:rPr>
        <w:t>[4]</w:t>
      </w:r>
    </w:p>
    <w:p w14:paraId="179A297C" w14:textId="4036EECD" w:rsidR="00B363C6" w:rsidRPr="001B6A80" w:rsidRDefault="00B363C6" w:rsidP="002E0F31">
      <w:r w:rsidRPr="001B6A80">
        <w:t>The “radio parameters per geographical area list” lists the radio parameters information per PC5 RAT with geographical area(s), and the information includes the geographical area which contains the latitude and longitude information, the radio parameters which are applicable in the geographical area indicated by the geographical area field, and an indicator which indicates how the radio parameters indicated in the radio parameters field in the geographical area indicated by the geographical area field are managed (“Non-operator managed” or “Operator managed”). The specific format for the radio parameters per geographical area info is as follows:</w:t>
      </w:r>
    </w:p>
    <w:p w14:paraId="1674016C" w14:textId="20F52DCC" w:rsidR="00B363C6" w:rsidRDefault="00AA22E1" w:rsidP="002E0F31">
      <w:pPr>
        <w:spacing w:after="180"/>
        <w:ind w:firstLineChars="200" w:firstLine="400"/>
        <w:jc w:val="center"/>
        <w:rPr>
          <w:rFonts w:eastAsiaTheme="minorEastAsia"/>
        </w:rPr>
      </w:pPr>
      <w:r>
        <w:rPr>
          <w:noProof/>
        </w:rPr>
        <w:drawing>
          <wp:inline distT="0" distB="0" distL="0" distR="0" wp14:anchorId="78EABA88" wp14:editId="4F699C5B">
            <wp:extent cx="3686476" cy="2067059"/>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95599" cy="2072174"/>
                    </a:xfrm>
                    <a:prstGeom prst="rect">
                      <a:avLst/>
                    </a:prstGeom>
                  </pic:spPr>
                </pic:pic>
              </a:graphicData>
            </a:graphic>
          </wp:inline>
        </w:drawing>
      </w:r>
    </w:p>
    <w:p w14:paraId="4D35C974" w14:textId="481C020E" w:rsidR="00C26138" w:rsidRPr="00AA22E1" w:rsidRDefault="00B363C6" w:rsidP="002E0F31">
      <w:pPr>
        <w:spacing w:after="180"/>
        <w:ind w:firstLineChars="200" w:firstLine="400"/>
        <w:jc w:val="center"/>
      </w:pPr>
      <w:r w:rsidRPr="002E0F31">
        <w:rPr>
          <w:rFonts w:eastAsiaTheme="minorEastAsia"/>
          <w:b/>
        </w:rPr>
        <w:t>Fig</w:t>
      </w:r>
      <w:r w:rsidR="00AA36F0" w:rsidRPr="002E0F31">
        <w:rPr>
          <w:rFonts w:eastAsiaTheme="minorEastAsia"/>
          <w:b/>
        </w:rPr>
        <w:t xml:space="preserve">ure </w:t>
      </w:r>
      <w:r w:rsidR="0092563B">
        <w:rPr>
          <w:rFonts w:eastAsiaTheme="minorEastAsia"/>
          <w:b/>
        </w:rPr>
        <w:t>4</w:t>
      </w:r>
      <w:r w:rsidR="00AA36F0" w:rsidRPr="002E0F31">
        <w:rPr>
          <w:rFonts w:eastAsiaTheme="minorEastAsia"/>
          <w:b/>
        </w:rPr>
        <w:t xml:space="preserve"> Radio parameters per geographical area </w:t>
      </w:r>
      <w:proofErr w:type="gramStart"/>
      <w:r w:rsidR="00AA36F0" w:rsidRPr="002E0F31">
        <w:rPr>
          <w:rFonts w:eastAsiaTheme="minorEastAsia"/>
          <w:b/>
        </w:rPr>
        <w:t>info</w:t>
      </w:r>
      <w:r w:rsidR="0092563B" w:rsidRPr="002E0F31">
        <w:rPr>
          <w:rFonts w:eastAsiaTheme="minorEastAsia"/>
          <w:b/>
          <w:vertAlign w:val="superscript"/>
        </w:rPr>
        <w:t>[</w:t>
      </w:r>
      <w:proofErr w:type="gramEnd"/>
      <w:r w:rsidR="0092563B" w:rsidRPr="002E0F31">
        <w:rPr>
          <w:rFonts w:eastAsiaTheme="minorEastAsia"/>
          <w:b/>
          <w:vertAlign w:val="superscript"/>
        </w:rPr>
        <w:t>4]</w:t>
      </w:r>
    </w:p>
    <w:p w14:paraId="71390CF9" w14:textId="51779E35" w:rsidR="001A3CEA" w:rsidRDefault="00814D91" w:rsidP="001A3CEA">
      <w:pPr>
        <w:pStyle w:val="Observation"/>
        <w:tabs>
          <w:tab w:val="clear" w:pos="1304"/>
        </w:tabs>
        <w:ind w:left="1701" w:hanging="1701"/>
      </w:pPr>
      <w:r>
        <w:t xml:space="preserve">The basic mechanisms for geographic area(s) </w:t>
      </w:r>
      <w:r w:rsidR="0030223C">
        <w:t xml:space="preserve">confinement of NR </w:t>
      </w:r>
      <w:proofErr w:type="spellStart"/>
      <w:r w:rsidR="0030223C">
        <w:t>sidelink</w:t>
      </w:r>
      <w:proofErr w:type="spellEnd"/>
      <w:r w:rsidR="0030223C">
        <w:t xml:space="preserve"> </w:t>
      </w:r>
      <w:r>
        <w:t xml:space="preserve">for a given frequency range </w:t>
      </w:r>
      <w:r w:rsidR="0030223C">
        <w:t xml:space="preserve">has been specified </w:t>
      </w:r>
      <w:r w:rsidR="001B6A80">
        <w:t xml:space="preserve">in R16 </w:t>
      </w:r>
      <w:r w:rsidR="0030223C">
        <w:t>for ITS-band</w:t>
      </w:r>
      <w:r w:rsidR="001A3CEA">
        <w:t>.</w:t>
      </w:r>
      <w:bookmarkEnd w:id="6"/>
    </w:p>
    <w:bookmarkEnd w:id="7"/>
    <w:p w14:paraId="2B82E0A9" w14:textId="7D019CF3" w:rsidR="0030223C" w:rsidRDefault="001B6A80" w:rsidP="0030223C">
      <w:r>
        <w:t>Obviously, t</w:t>
      </w:r>
      <w:r w:rsidR="00814D91">
        <w:t xml:space="preserve">he basic mechanism </w:t>
      </w:r>
      <w:r w:rsidR="00F40AAA">
        <w:t xml:space="preserve">for V2X </w:t>
      </w:r>
      <w:r w:rsidR="00564032">
        <w:t xml:space="preserve">(ITS bands) </w:t>
      </w:r>
      <w:r w:rsidR="00F40AAA">
        <w:t xml:space="preserve">operation can be reused in </w:t>
      </w:r>
      <w:proofErr w:type="spellStart"/>
      <w:r w:rsidR="00F40AAA">
        <w:t>sidelink</w:t>
      </w:r>
      <w:proofErr w:type="spellEnd"/>
      <w:r w:rsidR="00564032">
        <w:t xml:space="preserve"> (non-ITS bands)</w:t>
      </w:r>
      <w:r w:rsidR="00F40AAA">
        <w:rPr>
          <w:rFonts w:hint="eastAsia"/>
        </w:rPr>
        <w:t>.</w:t>
      </w:r>
      <w:r w:rsidR="00F40AAA">
        <w:t xml:space="preserve"> </w:t>
      </w:r>
    </w:p>
    <w:p w14:paraId="2D223708" w14:textId="41EF06D2" w:rsidR="00AC000C" w:rsidRDefault="0030223C" w:rsidP="00AC000C">
      <w:r>
        <w:rPr>
          <w:rFonts w:hint="eastAsia"/>
        </w:rPr>
        <w:t>I</w:t>
      </w:r>
      <w:r>
        <w:t>n order to progress it, as shown above, the related specification effort would be mainly by SA2 (for stage-2) and CT1 (for stage-3), so the final decision is to be left to SA2/CT1 instead of RAN2.</w:t>
      </w:r>
      <w:r>
        <w:rPr>
          <w:rFonts w:hint="eastAsia"/>
        </w:rPr>
        <w:t xml:space="preserve"> </w:t>
      </w:r>
      <w:r>
        <w:t>An LS can be sent for confirmation (see Annex).</w:t>
      </w:r>
      <w:r w:rsidR="001B6A80">
        <w:t xml:space="preserve"> I.e., a</w:t>
      </w:r>
      <w:r>
        <w:t xml:space="preserve">s </w:t>
      </w:r>
      <w:r w:rsidR="00814D91">
        <w:t xml:space="preserve">for the more specific mechanism design, it’s preferred to leave it to </w:t>
      </w:r>
      <w:r w:rsidR="001B6A80">
        <w:t>SA2/</w:t>
      </w:r>
      <w:r w:rsidR="00814D91">
        <w:t>CT1</w:t>
      </w:r>
      <w:r w:rsidR="00AC000C">
        <w:t>.</w:t>
      </w:r>
    </w:p>
    <w:p w14:paraId="0529C06C" w14:textId="43744F0A" w:rsidR="00DD6451" w:rsidRPr="00891599" w:rsidRDefault="0030223C" w:rsidP="00F40AA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53500217"/>
      <w:r>
        <w:t>By assuming the mechanism for NR-V2X can be reused for geo-area confinement of non-ITS band, RAN2 send LS to SA2/CT1 for confirmation</w:t>
      </w:r>
      <w:r w:rsidR="00F40AAA">
        <w:t>.</w:t>
      </w:r>
      <w:bookmarkEnd w:id="8"/>
      <w:r w:rsidR="00F40AAA" w:rsidRPr="00891599">
        <w:t xml:space="preserve"> </w:t>
      </w:r>
    </w:p>
    <w:p w14:paraId="121B23D8" w14:textId="77777777" w:rsidR="00D0573B" w:rsidRDefault="00D0573B">
      <w:pPr>
        <w:pStyle w:val="1"/>
      </w:pPr>
      <w:r>
        <w:t>Conclusion</w:t>
      </w:r>
    </w:p>
    <w:p w14:paraId="2FFF14A7" w14:textId="5748E441" w:rsidR="003F49A2" w:rsidRDefault="003F49A2">
      <w:r>
        <w:t>We have the following observations:</w:t>
      </w:r>
    </w:p>
    <w:p w14:paraId="668E8C94" w14:textId="295A4E07" w:rsidR="0030223C" w:rsidRDefault="003F49A2">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53500214" w:history="1">
        <w:r w:rsidR="0030223C" w:rsidRPr="00F42CAA">
          <w:rPr>
            <w:rStyle w:val="a5"/>
            <w:noProof/>
          </w:rPr>
          <w:t>Observation 1</w:t>
        </w:r>
        <w:r w:rsidR="0030223C">
          <w:rPr>
            <w:rFonts w:asciiTheme="minorHAnsi" w:eastAsiaTheme="minorEastAsia" w:hAnsiTheme="minorHAnsi" w:cstheme="minorBidi"/>
            <w:b w:val="0"/>
            <w:noProof/>
            <w:kern w:val="2"/>
            <w:sz w:val="21"/>
          </w:rPr>
          <w:tab/>
        </w:r>
        <w:r w:rsidR="0030223C" w:rsidRPr="00F42CAA">
          <w:rPr>
            <w:rStyle w:val="a5"/>
            <w:noProof/>
          </w:rPr>
          <w:t>The basic mechanisms for geographic area(s) confinement of NR sidelink for a given frequency range has been specified for ITS-band.</w:t>
        </w:r>
      </w:hyperlink>
    </w:p>
    <w:p w14:paraId="1E1D37A2" w14:textId="61A2B16C" w:rsidR="003F49A2" w:rsidRPr="003F49A2" w:rsidRDefault="003F49A2">
      <w:r>
        <w:fldChar w:fldCharType="end"/>
      </w:r>
    </w:p>
    <w:p w14:paraId="363AC2BA" w14:textId="4C4C8E62" w:rsidR="00D0573B" w:rsidRDefault="00D0573B">
      <w:r>
        <w:t>We have the following proposals:</w:t>
      </w:r>
    </w:p>
    <w:p w14:paraId="622262BD" w14:textId="25CA4D95" w:rsidR="0030223C" w:rsidRDefault="00D0573B">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53500217" w:history="1">
        <w:r w:rsidR="0030223C" w:rsidRPr="00D219E7">
          <w:rPr>
            <w:rStyle w:val="a5"/>
            <w:noProof/>
          </w:rPr>
          <w:t>Proposal 1</w:t>
        </w:r>
        <w:r w:rsidR="0030223C">
          <w:rPr>
            <w:rFonts w:asciiTheme="minorHAnsi" w:eastAsiaTheme="minorEastAsia" w:hAnsiTheme="minorHAnsi" w:cstheme="minorBidi"/>
            <w:b w:val="0"/>
            <w:noProof/>
            <w:kern w:val="2"/>
            <w:sz w:val="21"/>
          </w:rPr>
          <w:tab/>
        </w:r>
        <w:r w:rsidR="0030223C" w:rsidRPr="00D219E7">
          <w:rPr>
            <w:rStyle w:val="a5"/>
            <w:noProof/>
          </w:rPr>
          <w:t>By assuming the mechanism for NR-V2X can be reused for geo-area confinement of non-ITS band, RAN2 send LS to SA2/CT1 for confirmation.</w:t>
        </w:r>
      </w:hyperlink>
    </w:p>
    <w:p w14:paraId="3BAB227A" w14:textId="6AB0C6E8" w:rsidR="00D0573B" w:rsidRDefault="00D0573B">
      <w:r>
        <w:fldChar w:fldCharType="end"/>
      </w:r>
    </w:p>
    <w:p w14:paraId="2F566ED3" w14:textId="77777777" w:rsidR="00D0573B" w:rsidRDefault="00D0573B">
      <w:pPr>
        <w:rPr>
          <w:b/>
          <w:bCs/>
        </w:rPr>
      </w:pPr>
    </w:p>
    <w:p w14:paraId="21E65997" w14:textId="77777777" w:rsidR="00D0573B" w:rsidRDefault="00D0573B">
      <w:pPr>
        <w:pStyle w:val="1"/>
      </w:pPr>
      <w:bookmarkStart w:id="9" w:name="_In-sequence_SDU_delivery"/>
      <w:bookmarkStart w:id="10" w:name="_Ref189809556"/>
      <w:bookmarkStart w:id="11" w:name="_Ref174151459"/>
      <w:bookmarkStart w:id="12" w:name="_Ref450865335"/>
      <w:bookmarkEnd w:id="9"/>
      <w:r>
        <w:rPr>
          <w:rFonts w:hint="eastAsia"/>
        </w:rPr>
        <w:t>Reference</w:t>
      </w:r>
      <w:bookmarkEnd w:id="10"/>
      <w:bookmarkEnd w:id="11"/>
      <w:bookmarkEnd w:id="12"/>
    </w:p>
    <w:p w14:paraId="1D07AD88" w14:textId="1EB3F31E" w:rsidR="00D0573B" w:rsidRDefault="00F40AAA" w:rsidP="005E7CF8">
      <w:pPr>
        <w:numPr>
          <w:ilvl w:val="0"/>
          <w:numId w:val="12"/>
        </w:numPr>
      </w:pPr>
      <w:r>
        <w:rPr>
          <w:bCs/>
          <w:lang w:eastAsia="en-GB"/>
        </w:rPr>
        <w:t xml:space="preserve">3GPP </w:t>
      </w:r>
      <w:r w:rsidRPr="00692DEB">
        <w:rPr>
          <w:bCs/>
          <w:lang w:eastAsia="en-GB"/>
        </w:rPr>
        <w:t>TR 23.287, v16.</w:t>
      </w:r>
      <w:r>
        <w:rPr>
          <w:bCs/>
          <w:lang w:eastAsia="en-GB"/>
        </w:rPr>
        <w:t>3</w:t>
      </w:r>
      <w:r w:rsidRPr="00692DEB">
        <w:rPr>
          <w:bCs/>
          <w:lang w:eastAsia="en-GB"/>
        </w:rPr>
        <w:t>.0</w:t>
      </w:r>
      <w:r>
        <w:rPr>
          <w:bCs/>
          <w:lang w:eastAsia="en-GB"/>
        </w:rPr>
        <w:t xml:space="preserve">, </w:t>
      </w:r>
      <w:r w:rsidR="005E7CF8">
        <w:t>Architecture enhancements for 5G System (5GS)</w:t>
      </w:r>
      <w:r w:rsidR="005E7CF8">
        <w:rPr>
          <w:rFonts w:hint="eastAsia"/>
        </w:rPr>
        <w:t xml:space="preserve"> </w:t>
      </w:r>
      <w:r w:rsidR="005E7CF8">
        <w:t>to support Vehicle-to-Everything (V2X) services</w:t>
      </w:r>
      <w:r>
        <w:t>.</w:t>
      </w:r>
    </w:p>
    <w:p w14:paraId="693AEA92" w14:textId="1D958981" w:rsidR="00AA36F0" w:rsidRDefault="00AA36F0" w:rsidP="00AA36F0">
      <w:pPr>
        <w:numPr>
          <w:ilvl w:val="0"/>
          <w:numId w:val="12"/>
        </w:numPr>
      </w:pPr>
      <w:r w:rsidRPr="00AA36F0">
        <w:t>3GPP TS 24.587 v16.</w:t>
      </w:r>
      <w:r>
        <w:t>2</w:t>
      </w:r>
      <w:r w:rsidRPr="00AA36F0">
        <w:t>.1</w:t>
      </w:r>
      <w:r>
        <w:t>, Vehicle-to-Everything (V2X) services in 5G System (5GS).</w:t>
      </w:r>
    </w:p>
    <w:p w14:paraId="0CC8E1F3" w14:textId="4B0C4616" w:rsidR="0092563B" w:rsidRDefault="006B5A09" w:rsidP="00AA36F0">
      <w:pPr>
        <w:numPr>
          <w:ilvl w:val="0"/>
          <w:numId w:val="12"/>
        </w:numPr>
      </w:pPr>
      <w:r w:rsidRPr="006B5A09">
        <w:t>3GPP TS 31.102 V16.5.0</w:t>
      </w:r>
      <w:r>
        <w:t xml:space="preserve">, </w:t>
      </w:r>
      <w:r w:rsidRPr="006B5A09">
        <w:t>Characteristics of the Universal Subscriber Identity Module (USIM) application</w:t>
      </w:r>
      <w:r>
        <w:t>.</w:t>
      </w:r>
    </w:p>
    <w:p w14:paraId="5494014F" w14:textId="11DD5DA9" w:rsidR="00AA22E1" w:rsidRDefault="00AA22E1" w:rsidP="00AA22E1">
      <w:pPr>
        <w:numPr>
          <w:ilvl w:val="0"/>
          <w:numId w:val="12"/>
        </w:numPr>
      </w:pPr>
      <w:r w:rsidRPr="00AA22E1">
        <w:t>3GPP TS 24.588 V16.2.0</w:t>
      </w:r>
      <w:r>
        <w:t>, Vehicle-to-Everything (V2X) services in 5G System (5GS); User Equipment (UE) policies.</w:t>
      </w:r>
    </w:p>
    <w:p w14:paraId="28DE0F33" w14:textId="4959B7EF" w:rsidR="0030223C" w:rsidRDefault="0030223C" w:rsidP="002E0F31">
      <w:pPr>
        <w:pStyle w:val="1"/>
      </w:pPr>
      <w:r>
        <w:rPr>
          <w:rFonts w:hint="eastAsia"/>
        </w:rPr>
        <w:t>A</w:t>
      </w:r>
      <w:r>
        <w:t>nnex: Draft-LS to SA2/CT1</w:t>
      </w:r>
    </w:p>
    <w:p w14:paraId="6FE52CEF" w14:textId="77777777" w:rsidR="001A7822" w:rsidRPr="007419B6" w:rsidRDefault="001A7822" w:rsidP="001A7822">
      <w:pPr>
        <w:tabs>
          <w:tab w:val="right" w:pos="9781"/>
        </w:tabs>
        <w:rPr>
          <w:rFonts w:cs="Arial"/>
          <w:b/>
          <w:bCs/>
          <w:sz w:val="22"/>
        </w:rPr>
      </w:pPr>
      <w:r w:rsidRPr="007419B6">
        <w:rPr>
          <w:rFonts w:cs="Arial"/>
          <w:b/>
          <w:bCs/>
          <w:sz w:val="22"/>
        </w:rPr>
        <w:t>3GPP TSG-RAN WG2 Meeting #1</w:t>
      </w:r>
      <w:r>
        <w:rPr>
          <w:rFonts w:cs="Arial"/>
          <w:b/>
          <w:bCs/>
          <w:sz w:val="22"/>
        </w:rPr>
        <w:t>12</w:t>
      </w:r>
      <w:r w:rsidRPr="007419B6">
        <w:rPr>
          <w:rFonts w:cs="Arial"/>
          <w:b/>
          <w:bCs/>
          <w:sz w:val="22"/>
        </w:rPr>
        <w:t>-e</w:t>
      </w:r>
      <w:r w:rsidRPr="007419B6">
        <w:rPr>
          <w:rFonts w:cs="Arial"/>
          <w:b/>
          <w:bCs/>
          <w:sz w:val="22"/>
        </w:rPr>
        <w:tab/>
      </w:r>
      <w:r w:rsidRPr="00355C76">
        <w:rPr>
          <w:rFonts w:cs="Arial"/>
          <w:b/>
          <w:bCs/>
          <w:sz w:val="22"/>
          <w:highlight w:val="yellow"/>
        </w:rPr>
        <w:t>draft0_</w:t>
      </w:r>
      <w:r w:rsidRPr="007419B6">
        <w:rPr>
          <w:rFonts w:cs="Arial"/>
          <w:b/>
          <w:bCs/>
          <w:sz w:val="22"/>
        </w:rPr>
        <w:t>R2-</w:t>
      </w:r>
      <w:r>
        <w:rPr>
          <w:rFonts w:cs="Arial"/>
          <w:b/>
          <w:bCs/>
          <w:sz w:val="22"/>
        </w:rPr>
        <w:t>200xxxx</w:t>
      </w:r>
    </w:p>
    <w:p w14:paraId="45F9B8F2" w14:textId="77777777" w:rsidR="001A7822" w:rsidRPr="007419B6" w:rsidRDefault="001A7822" w:rsidP="001A7822">
      <w:pPr>
        <w:rPr>
          <w:rFonts w:eastAsia="Malgun Gothic" w:cs="Arial"/>
          <w:b/>
          <w:bCs/>
          <w:sz w:val="22"/>
          <w:lang w:eastAsia="ko-KR"/>
        </w:rPr>
      </w:pPr>
      <w:r w:rsidRPr="007419B6">
        <w:rPr>
          <w:rFonts w:eastAsia="Malgun Gothic" w:cs="Arial"/>
          <w:b/>
          <w:bCs/>
          <w:sz w:val="22"/>
          <w:lang w:eastAsia="ko-KR"/>
        </w:rPr>
        <w:t xml:space="preserve">Online, 2 – </w:t>
      </w:r>
      <w:r>
        <w:rPr>
          <w:rFonts w:eastAsia="Malgun Gothic" w:cs="Arial"/>
          <w:b/>
          <w:bCs/>
          <w:sz w:val="22"/>
          <w:lang w:eastAsia="ko-KR"/>
        </w:rPr>
        <w:t>1</w:t>
      </w:r>
      <w:r w:rsidRPr="007419B6">
        <w:rPr>
          <w:rFonts w:eastAsia="Malgun Gothic" w:cs="Arial"/>
          <w:b/>
          <w:bCs/>
          <w:sz w:val="22"/>
          <w:lang w:eastAsia="ko-KR"/>
        </w:rPr>
        <w:t xml:space="preserve">3 </w:t>
      </w:r>
      <w:r>
        <w:rPr>
          <w:rFonts w:eastAsia="Malgun Gothic" w:cs="Arial"/>
          <w:b/>
          <w:bCs/>
          <w:sz w:val="22"/>
          <w:lang w:eastAsia="ko-KR"/>
        </w:rPr>
        <w:t>November</w:t>
      </w:r>
      <w:r w:rsidRPr="007419B6">
        <w:rPr>
          <w:rFonts w:eastAsia="Malgun Gothic" w:cs="Arial"/>
          <w:b/>
          <w:bCs/>
          <w:sz w:val="22"/>
          <w:lang w:eastAsia="ko-KR"/>
        </w:rPr>
        <w:t xml:space="preserve"> 2020</w:t>
      </w:r>
    </w:p>
    <w:p w14:paraId="1838F9F4" w14:textId="77777777" w:rsidR="001A7822" w:rsidRPr="007419B6" w:rsidRDefault="001A7822" w:rsidP="001A7822">
      <w:pPr>
        <w:rPr>
          <w:rFonts w:cs="Arial"/>
        </w:rPr>
      </w:pPr>
    </w:p>
    <w:p w14:paraId="5CD9B78B" w14:textId="77777777" w:rsidR="001A7822" w:rsidRPr="00070961" w:rsidRDefault="001A7822" w:rsidP="001A7822">
      <w:pPr>
        <w:spacing w:after="60"/>
        <w:ind w:left="1985" w:hanging="1985"/>
        <w:rPr>
          <w:rFonts w:cs="Arial"/>
          <w:bCs/>
        </w:rPr>
      </w:pPr>
      <w:r w:rsidRPr="00070961">
        <w:rPr>
          <w:rFonts w:cs="Arial"/>
          <w:b/>
        </w:rPr>
        <w:t>Title:</w:t>
      </w:r>
      <w:r w:rsidRPr="00070961">
        <w:rPr>
          <w:rFonts w:cs="Arial"/>
          <w:b/>
        </w:rPr>
        <w:tab/>
      </w:r>
      <w:r w:rsidRPr="00355C76">
        <w:rPr>
          <w:rFonts w:cs="Arial"/>
          <w:b/>
          <w:highlight w:val="yellow"/>
        </w:rPr>
        <w:t>[DRAFT]</w:t>
      </w:r>
      <w:r>
        <w:rPr>
          <w:rFonts w:cs="Arial"/>
          <w:b/>
        </w:rPr>
        <w:t xml:space="preserve"> </w:t>
      </w:r>
      <w:r w:rsidRPr="0054084F">
        <w:rPr>
          <w:rFonts w:cs="Arial"/>
          <w:bCs/>
        </w:rPr>
        <w:t xml:space="preserve">LS on </w:t>
      </w:r>
      <w:r w:rsidRPr="00132AAB">
        <w:rPr>
          <w:rFonts w:cs="Arial"/>
          <w:bCs/>
        </w:rPr>
        <w:t>geo-area confinement</w:t>
      </w:r>
    </w:p>
    <w:p w14:paraId="2763284A" w14:textId="77777777" w:rsidR="001A7822" w:rsidRPr="00070961" w:rsidRDefault="001A7822" w:rsidP="001A7822">
      <w:pPr>
        <w:spacing w:after="60"/>
        <w:ind w:left="1985" w:hanging="1985"/>
        <w:rPr>
          <w:rFonts w:cs="Arial"/>
          <w:bCs/>
        </w:rPr>
      </w:pPr>
      <w:r w:rsidRPr="00070961">
        <w:rPr>
          <w:rFonts w:cs="Arial"/>
          <w:b/>
        </w:rPr>
        <w:t>Response to:</w:t>
      </w:r>
      <w:r w:rsidRPr="00070961">
        <w:rPr>
          <w:rFonts w:cs="Arial"/>
          <w:bCs/>
        </w:rPr>
        <w:tab/>
      </w:r>
    </w:p>
    <w:p w14:paraId="220D5BBA" w14:textId="77777777" w:rsidR="001A7822" w:rsidRPr="00070961" w:rsidRDefault="001A7822" w:rsidP="001A7822">
      <w:pPr>
        <w:spacing w:after="60"/>
        <w:ind w:left="1985" w:hanging="1985"/>
        <w:rPr>
          <w:rFonts w:cs="Arial"/>
          <w:bCs/>
        </w:rPr>
      </w:pPr>
      <w:r w:rsidRPr="00070961">
        <w:rPr>
          <w:rFonts w:cs="Arial"/>
          <w:b/>
        </w:rPr>
        <w:t>Release:</w:t>
      </w:r>
      <w:r w:rsidRPr="00070961">
        <w:rPr>
          <w:rFonts w:cs="Arial"/>
          <w:bCs/>
        </w:rPr>
        <w:tab/>
      </w:r>
      <w:r>
        <w:rPr>
          <w:rFonts w:cs="Arial"/>
          <w:bCs/>
        </w:rPr>
        <w:t>Rel-17</w:t>
      </w:r>
    </w:p>
    <w:p w14:paraId="7584B4ED" w14:textId="77777777" w:rsidR="001A7822" w:rsidRPr="00070961" w:rsidRDefault="001A7822" w:rsidP="001A7822">
      <w:pPr>
        <w:spacing w:after="60"/>
        <w:ind w:left="1985" w:hanging="1985"/>
        <w:rPr>
          <w:rFonts w:cs="Arial"/>
          <w:bCs/>
        </w:rPr>
      </w:pPr>
      <w:r w:rsidRPr="00070961">
        <w:rPr>
          <w:rFonts w:cs="Arial"/>
          <w:b/>
        </w:rPr>
        <w:t>Work Item:</w:t>
      </w:r>
      <w:r w:rsidRPr="00070961">
        <w:rPr>
          <w:rFonts w:cs="Arial"/>
          <w:bCs/>
        </w:rPr>
        <w:tab/>
      </w:r>
      <w:proofErr w:type="spellStart"/>
      <w:r w:rsidRPr="00132AAB">
        <w:rPr>
          <w:rFonts w:cs="Arial"/>
          <w:bCs/>
        </w:rPr>
        <w:t>NR_SL_enh</w:t>
      </w:r>
      <w:proofErr w:type="spellEnd"/>
    </w:p>
    <w:p w14:paraId="7F1DD770" w14:textId="77777777" w:rsidR="001A7822" w:rsidRPr="00070961" w:rsidRDefault="001A7822" w:rsidP="001A7822">
      <w:pPr>
        <w:spacing w:after="60"/>
        <w:ind w:left="1985" w:hanging="1985"/>
        <w:rPr>
          <w:rFonts w:cs="Arial"/>
          <w:b/>
        </w:rPr>
      </w:pPr>
    </w:p>
    <w:p w14:paraId="36DEE0E5" w14:textId="77777777" w:rsidR="001A7822" w:rsidRPr="00070961" w:rsidRDefault="001A7822" w:rsidP="001A7822">
      <w:pPr>
        <w:spacing w:after="60"/>
        <w:ind w:left="1985" w:hanging="1985"/>
        <w:rPr>
          <w:rFonts w:cs="Arial"/>
          <w:bCs/>
        </w:rPr>
      </w:pPr>
      <w:r w:rsidRPr="00070961">
        <w:rPr>
          <w:rFonts w:cs="Arial"/>
          <w:b/>
        </w:rPr>
        <w:t>Source:</w:t>
      </w:r>
      <w:r w:rsidRPr="00070961">
        <w:rPr>
          <w:rFonts w:cs="Arial"/>
          <w:bCs/>
        </w:rPr>
        <w:tab/>
      </w:r>
      <w:r>
        <w:rPr>
          <w:rFonts w:cs="Arial"/>
          <w:bCs/>
          <w:highlight w:val="yellow"/>
        </w:rPr>
        <w:t>OPPO [To be R</w:t>
      </w:r>
      <w:r w:rsidRPr="00070961">
        <w:rPr>
          <w:rFonts w:cs="Arial"/>
          <w:bCs/>
          <w:highlight w:val="yellow"/>
        </w:rPr>
        <w:t>AN2</w:t>
      </w:r>
      <w:r>
        <w:rPr>
          <w:rFonts w:cs="Arial"/>
          <w:bCs/>
        </w:rPr>
        <w:t>]</w:t>
      </w:r>
    </w:p>
    <w:p w14:paraId="1F6678C0" w14:textId="5D18D6B0" w:rsidR="001A7822" w:rsidRPr="007419B6" w:rsidRDefault="001A7822" w:rsidP="001A7822">
      <w:pPr>
        <w:spacing w:after="60"/>
        <w:ind w:left="1985" w:hanging="1985"/>
        <w:rPr>
          <w:rFonts w:cs="Arial"/>
          <w:bCs/>
        </w:rPr>
      </w:pPr>
      <w:r w:rsidRPr="007419B6">
        <w:rPr>
          <w:rFonts w:cs="Arial"/>
          <w:b/>
        </w:rPr>
        <w:t>To:</w:t>
      </w:r>
      <w:r w:rsidRPr="007419B6">
        <w:rPr>
          <w:rFonts w:cs="Arial"/>
          <w:bCs/>
        </w:rPr>
        <w:tab/>
      </w:r>
      <w:r>
        <w:rPr>
          <w:rFonts w:cs="Arial"/>
          <w:bCs/>
        </w:rPr>
        <w:t>SA</w:t>
      </w:r>
      <w:r w:rsidR="00E050BD">
        <w:rPr>
          <w:rFonts w:cs="Arial"/>
          <w:bCs/>
        </w:rPr>
        <w:t>2</w:t>
      </w:r>
    </w:p>
    <w:p w14:paraId="39332322" w14:textId="7E65EC63" w:rsidR="001A7822" w:rsidRPr="007419B6" w:rsidRDefault="001A7822" w:rsidP="001A7822">
      <w:pPr>
        <w:spacing w:after="60"/>
        <w:ind w:left="1985" w:hanging="1985"/>
        <w:rPr>
          <w:rFonts w:cs="Arial"/>
          <w:bCs/>
        </w:rPr>
      </w:pPr>
      <w:r w:rsidRPr="007419B6">
        <w:rPr>
          <w:rFonts w:cs="Arial"/>
          <w:b/>
        </w:rPr>
        <w:t>Cc:</w:t>
      </w:r>
      <w:r w:rsidRPr="007419B6">
        <w:rPr>
          <w:rFonts w:cs="Arial"/>
          <w:bCs/>
        </w:rPr>
        <w:tab/>
      </w:r>
      <w:r w:rsidR="00E050BD">
        <w:rPr>
          <w:rFonts w:cs="Arial"/>
          <w:bCs/>
        </w:rPr>
        <w:t>CT1</w:t>
      </w:r>
    </w:p>
    <w:p w14:paraId="79D7B0D4" w14:textId="77777777" w:rsidR="001A7822" w:rsidRPr="007419B6" w:rsidRDefault="001A7822" w:rsidP="001A7822">
      <w:pPr>
        <w:spacing w:after="60"/>
        <w:ind w:left="1985" w:hanging="1985"/>
        <w:rPr>
          <w:rFonts w:cs="Arial"/>
          <w:bCs/>
        </w:rPr>
      </w:pPr>
    </w:p>
    <w:p w14:paraId="62A7C148" w14:textId="77777777" w:rsidR="001A7822" w:rsidRPr="007419B6" w:rsidRDefault="001A7822" w:rsidP="001A7822">
      <w:pPr>
        <w:tabs>
          <w:tab w:val="left" w:pos="2268"/>
        </w:tabs>
        <w:rPr>
          <w:rFonts w:cs="Arial"/>
          <w:bCs/>
        </w:rPr>
      </w:pPr>
      <w:r w:rsidRPr="007419B6">
        <w:rPr>
          <w:rFonts w:cs="Arial"/>
          <w:b/>
        </w:rPr>
        <w:t>Contact Person:</w:t>
      </w:r>
      <w:r w:rsidRPr="007419B6">
        <w:rPr>
          <w:rFonts w:cs="Arial"/>
          <w:bCs/>
        </w:rPr>
        <w:tab/>
      </w:r>
    </w:p>
    <w:p w14:paraId="58AEC231" w14:textId="77777777" w:rsidR="001A7822" w:rsidRPr="007419B6" w:rsidRDefault="001A7822" w:rsidP="002E0F31">
      <w:pPr>
        <w:pStyle w:val="4"/>
        <w:numPr>
          <w:ilvl w:val="0"/>
          <w:numId w:val="0"/>
        </w:numPr>
        <w:tabs>
          <w:tab w:val="left" w:pos="2268"/>
        </w:tabs>
        <w:ind w:leftChars="300" w:left="600"/>
        <w:rPr>
          <w:rFonts w:cs="Arial"/>
          <w:b/>
          <w:bCs/>
        </w:rPr>
      </w:pPr>
      <w:r w:rsidRPr="00B67222">
        <w:rPr>
          <w:rFonts w:cs="Arial"/>
          <w:b/>
          <w:sz w:val="20"/>
          <w:szCs w:val="20"/>
        </w:rPr>
        <w:t>Name:</w:t>
      </w:r>
      <w:r w:rsidRPr="007419B6">
        <w:rPr>
          <w:rFonts w:cs="Arial"/>
          <w:bCs/>
        </w:rPr>
        <w:tab/>
      </w:r>
      <w:r w:rsidRPr="00B67222">
        <w:rPr>
          <w:rFonts w:cs="Arial"/>
          <w:bCs/>
          <w:sz w:val="20"/>
          <w:szCs w:val="20"/>
        </w:rPr>
        <w:t>Bingxue Leng</w:t>
      </w:r>
    </w:p>
    <w:p w14:paraId="435CC63D" w14:textId="77777777" w:rsidR="001A7822" w:rsidRPr="007419B6" w:rsidRDefault="001A7822">
      <w:pPr>
        <w:tabs>
          <w:tab w:val="left" w:pos="2268"/>
          <w:tab w:val="left" w:pos="2694"/>
        </w:tabs>
        <w:ind w:left="567"/>
        <w:rPr>
          <w:rFonts w:cs="Arial"/>
          <w:bCs/>
        </w:rPr>
      </w:pPr>
      <w:r w:rsidRPr="007419B6">
        <w:rPr>
          <w:rFonts w:cs="Arial"/>
          <w:b/>
        </w:rPr>
        <w:t>Tel. Number:</w:t>
      </w:r>
      <w:r w:rsidRPr="007419B6">
        <w:rPr>
          <w:rFonts w:cs="Arial"/>
          <w:bCs/>
        </w:rPr>
        <w:tab/>
      </w:r>
    </w:p>
    <w:p w14:paraId="592DF657" w14:textId="77777777" w:rsidR="001A7822" w:rsidRPr="00132AAB" w:rsidRDefault="001A7822" w:rsidP="002E0F31">
      <w:pPr>
        <w:pStyle w:val="7"/>
        <w:numPr>
          <w:ilvl w:val="0"/>
          <w:numId w:val="0"/>
        </w:numPr>
        <w:tabs>
          <w:tab w:val="left" w:pos="2268"/>
        </w:tabs>
        <w:ind w:leftChars="300" w:left="600"/>
        <w:rPr>
          <w:bCs/>
        </w:rPr>
      </w:pPr>
      <w:r w:rsidRPr="002E0F31">
        <w:rPr>
          <w:b/>
        </w:rPr>
        <w:t>E-mail Address:</w:t>
      </w:r>
      <w:r w:rsidRPr="007419B6">
        <w:rPr>
          <w:bCs/>
        </w:rPr>
        <w:tab/>
      </w:r>
      <w:r w:rsidRPr="002E0F31">
        <w:rPr>
          <w:bCs/>
        </w:rPr>
        <w:t>lengbingxue</w:t>
      </w:r>
      <w:r>
        <w:rPr>
          <w:bCs/>
        </w:rPr>
        <w:t>@oppo</w:t>
      </w:r>
      <w:r w:rsidRPr="007419B6">
        <w:rPr>
          <w:bCs/>
        </w:rPr>
        <w:t>.com</w:t>
      </w:r>
      <w:r w:rsidRPr="007419B6">
        <w:rPr>
          <w:bCs/>
        </w:rPr>
        <w:tab/>
      </w:r>
    </w:p>
    <w:p w14:paraId="53503BD3" w14:textId="77777777" w:rsidR="001A7822" w:rsidRPr="007419B6" w:rsidRDefault="001A7822" w:rsidP="001A7822">
      <w:pPr>
        <w:pBdr>
          <w:bottom w:val="single" w:sz="4" w:space="1" w:color="auto"/>
        </w:pBdr>
        <w:rPr>
          <w:rFonts w:cs="Arial"/>
        </w:rPr>
      </w:pPr>
    </w:p>
    <w:p w14:paraId="4813EDC9" w14:textId="77777777" w:rsidR="001A7822" w:rsidRPr="007419B6" w:rsidRDefault="001A7822" w:rsidP="001A7822">
      <w:pPr>
        <w:rPr>
          <w:rFonts w:cs="Arial"/>
        </w:rPr>
      </w:pPr>
    </w:p>
    <w:p w14:paraId="3F961395" w14:textId="77777777" w:rsidR="001A7822" w:rsidRPr="007419B6" w:rsidRDefault="001A7822" w:rsidP="001A7822">
      <w:pPr>
        <w:rPr>
          <w:rFonts w:cs="Arial"/>
          <w:b/>
        </w:rPr>
      </w:pPr>
      <w:r w:rsidRPr="007419B6">
        <w:rPr>
          <w:rFonts w:cs="Arial"/>
          <w:b/>
        </w:rPr>
        <w:t>1. Overall Description:</w:t>
      </w:r>
    </w:p>
    <w:p w14:paraId="6782A38D" w14:textId="654FA897" w:rsidR="00E050BD" w:rsidRPr="00E050BD" w:rsidRDefault="00E050BD" w:rsidP="001A7822">
      <w:pPr>
        <w:spacing w:line="276" w:lineRule="auto"/>
        <w:rPr>
          <w:rFonts w:eastAsiaTheme="minorEastAsia" w:cs="Arial"/>
        </w:rPr>
      </w:pPr>
      <w:r w:rsidRPr="00E050BD">
        <w:rPr>
          <w:rFonts w:eastAsiaTheme="minorEastAsia" w:cs="Arial"/>
        </w:rPr>
        <w:t>According to WID of RP-20</w:t>
      </w:r>
      <w:r w:rsidR="00344776">
        <w:rPr>
          <w:rFonts w:eastAsiaTheme="minorEastAsia" w:cs="Arial"/>
        </w:rPr>
        <w:t>1516</w:t>
      </w:r>
      <w:r w:rsidRPr="00E050BD">
        <w:rPr>
          <w:rFonts w:eastAsiaTheme="minorEastAsia" w:cs="Arial"/>
        </w:rPr>
        <w:t xml:space="preserve">, R17 </w:t>
      </w:r>
      <w:r w:rsidR="00344776" w:rsidRPr="00344776">
        <w:rPr>
          <w:rFonts w:eastAsiaTheme="minorEastAsia" w:cs="Arial"/>
        </w:rPr>
        <w:t xml:space="preserve">NR </w:t>
      </w:r>
      <w:proofErr w:type="spellStart"/>
      <w:r w:rsidR="00344776" w:rsidRPr="00344776">
        <w:rPr>
          <w:rFonts w:eastAsiaTheme="minorEastAsia" w:cs="Arial"/>
        </w:rPr>
        <w:t>sidelink</w:t>
      </w:r>
      <w:proofErr w:type="spellEnd"/>
      <w:r w:rsidR="00344776" w:rsidRPr="00344776">
        <w:rPr>
          <w:rFonts w:eastAsiaTheme="minorEastAsia" w:cs="Arial"/>
        </w:rPr>
        <w:t xml:space="preserve"> enhancement</w:t>
      </w:r>
      <w:r w:rsidR="00344776" w:rsidRPr="00344776" w:rsidDel="00344776">
        <w:rPr>
          <w:rFonts w:eastAsiaTheme="minorEastAsia" w:cs="Arial"/>
        </w:rPr>
        <w:t xml:space="preserve"> </w:t>
      </w:r>
      <w:r w:rsidRPr="00E050BD">
        <w:rPr>
          <w:rFonts w:eastAsiaTheme="minorEastAsia" w:cs="Arial"/>
        </w:rPr>
        <w:t>has to accomplish the work for the following bullet</w:t>
      </w:r>
    </w:p>
    <w:p w14:paraId="2836C4B7" w14:textId="77777777" w:rsidR="00344776" w:rsidRDefault="00344776" w:rsidP="00344776">
      <w:pPr>
        <w:pBdr>
          <w:top w:val="single" w:sz="4" w:space="1" w:color="auto"/>
          <w:left w:val="single" w:sz="4" w:space="4" w:color="auto"/>
          <w:bottom w:val="single" w:sz="4" w:space="1" w:color="auto"/>
          <w:right w:val="single" w:sz="4" w:space="4" w:color="auto"/>
        </w:pBdr>
        <w:spacing w:after="180"/>
        <w:jc w:val="left"/>
        <w:rPr>
          <w:lang w:eastAsia="ko-KR"/>
        </w:rPr>
      </w:pPr>
      <w:r>
        <w:rPr>
          <w:lang w:eastAsia="ko-KR"/>
        </w:rPr>
        <w:t xml:space="preserve">5. Define mechanism to ensure </w:t>
      </w:r>
      <w:proofErr w:type="spellStart"/>
      <w:r>
        <w:rPr>
          <w:lang w:eastAsia="ko-KR"/>
        </w:rPr>
        <w:t>sidelink</w:t>
      </w:r>
      <w:proofErr w:type="spellEnd"/>
      <w:r>
        <w:rPr>
          <w:lang w:eastAsia="ko-KR"/>
        </w:rPr>
        <w:t xml:space="preserve"> operation can be confined to a predetermined geographic area(s) for a given frequency range within non-ITS bands [RAN2].</w:t>
      </w:r>
    </w:p>
    <w:p w14:paraId="58256ACF" w14:textId="77777777" w:rsidR="00344776" w:rsidRDefault="00344776" w:rsidP="00344776">
      <w:pPr>
        <w:numPr>
          <w:ilvl w:val="0"/>
          <w:numId w:val="24"/>
        </w:numPr>
        <w:pBdr>
          <w:top w:val="single" w:sz="4" w:space="1" w:color="auto"/>
          <w:left w:val="single" w:sz="4" w:space="4" w:color="auto"/>
          <w:bottom w:val="single" w:sz="4" w:space="1" w:color="auto"/>
          <w:right w:val="single" w:sz="4" w:space="4" w:color="auto"/>
        </w:pBdr>
        <w:spacing w:after="180"/>
        <w:ind w:left="0" w:firstLine="0"/>
        <w:jc w:val="left"/>
        <w:rPr>
          <w:lang w:eastAsia="ko-KR"/>
        </w:rPr>
      </w:pPr>
      <w:r>
        <w:rPr>
          <w:lang w:eastAsia="ko-KR"/>
        </w:rPr>
        <w:t>This applies areas where there is no network coverage.</w:t>
      </w:r>
    </w:p>
    <w:p w14:paraId="7B7A139E" w14:textId="5F853D28" w:rsidR="001A7822" w:rsidRDefault="00E050BD" w:rsidP="001A7822">
      <w:pPr>
        <w:spacing w:line="276" w:lineRule="auto"/>
        <w:rPr>
          <w:rFonts w:eastAsiaTheme="minorEastAsia" w:cs="Arial"/>
        </w:rPr>
      </w:pPr>
      <w:r>
        <w:rPr>
          <w:rFonts w:eastAsiaTheme="minorEastAsia" w:cs="Arial"/>
        </w:rPr>
        <w:t xml:space="preserve">RAN2 understands that, a similar </w:t>
      </w:r>
      <w:r w:rsidRPr="000C3375">
        <w:rPr>
          <w:rFonts w:eastAsiaTheme="minorEastAsia" w:cs="Arial"/>
        </w:rPr>
        <w:t>mechanism for V2X operation in predetermined geographic area</w:t>
      </w:r>
      <w:r>
        <w:rPr>
          <w:rFonts w:eastAsiaTheme="minorEastAsia" w:cs="Arial"/>
        </w:rPr>
        <w:t>s (</w:t>
      </w:r>
      <w:r w:rsidRPr="00C55E0D">
        <w:rPr>
          <w:rFonts w:eastAsiaTheme="minorEastAsia" w:cs="Arial"/>
        </w:rPr>
        <w:t>no network coverage</w:t>
      </w:r>
      <w:r>
        <w:rPr>
          <w:rFonts w:eastAsiaTheme="minorEastAsia" w:cs="Arial"/>
        </w:rPr>
        <w:t>)</w:t>
      </w:r>
      <w:r w:rsidRPr="000C3375">
        <w:rPr>
          <w:rFonts w:eastAsiaTheme="minorEastAsia" w:cs="Arial"/>
        </w:rPr>
        <w:t xml:space="preserve"> for a given frequency range within ITS bands </w:t>
      </w:r>
      <w:r>
        <w:rPr>
          <w:rFonts w:eastAsiaTheme="minorEastAsia" w:cs="Arial"/>
        </w:rPr>
        <w:t>has</w:t>
      </w:r>
      <w:r w:rsidRPr="000C3375">
        <w:rPr>
          <w:rFonts w:eastAsiaTheme="minorEastAsia" w:cs="Arial"/>
        </w:rPr>
        <w:t xml:space="preserve"> already </w:t>
      </w:r>
      <w:r>
        <w:rPr>
          <w:rFonts w:eastAsiaTheme="minorEastAsia" w:cs="Arial"/>
        </w:rPr>
        <w:t xml:space="preserve">been specified </w:t>
      </w:r>
      <w:r w:rsidRPr="000C3375">
        <w:rPr>
          <w:rFonts w:eastAsiaTheme="minorEastAsia" w:cs="Arial"/>
        </w:rPr>
        <w:t>supported in Rel-16</w:t>
      </w:r>
      <w:r>
        <w:rPr>
          <w:rFonts w:eastAsiaTheme="minorEastAsia" w:cs="Arial"/>
        </w:rPr>
        <w:t>,</w:t>
      </w:r>
      <w:r w:rsidR="001A7822">
        <w:rPr>
          <w:rFonts w:eastAsiaTheme="minorEastAsia" w:cs="Arial"/>
        </w:rPr>
        <w:t xml:space="preserve"> i.e. </w:t>
      </w:r>
      <w:r>
        <w:rPr>
          <w:rFonts w:eastAsiaTheme="minorEastAsia" w:cs="Arial"/>
        </w:rPr>
        <w:t xml:space="preserve">in </w:t>
      </w:r>
      <w:r w:rsidR="001A7822">
        <w:rPr>
          <w:rFonts w:eastAsiaTheme="minorEastAsia" w:cs="Arial"/>
        </w:rPr>
        <w:t>23.287</w:t>
      </w:r>
      <w:r>
        <w:rPr>
          <w:rFonts w:eastAsiaTheme="minorEastAsia" w:cs="Arial"/>
        </w:rPr>
        <w:t xml:space="preserve"> </w:t>
      </w:r>
      <w:r w:rsidR="0000138E">
        <w:rPr>
          <w:rFonts w:eastAsiaTheme="minorEastAsia" w:cs="Arial"/>
        </w:rPr>
        <w:t>clause 5.1.2</w:t>
      </w:r>
      <w:r>
        <w:rPr>
          <w:rFonts w:eastAsiaTheme="minorEastAsia" w:cs="Arial"/>
        </w:rPr>
        <w:t xml:space="preserve">, </w:t>
      </w:r>
      <w:r w:rsidR="001A7822">
        <w:rPr>
          <w:rFonts w:eastAsiaTheme="minorEastAsia" w:cs="Arial"/>
        </w:rPr>
        <w:t>24.587</w:t>
      </w:r>
      <w:r w:rsidR="00125167">
        <w:rPr>
          <w:rFonts w:eastAsiaTheme="minorEastAsia" w:cs="Arial"/>
        </w:rPr>
        <w:t xml:space="preserve"> </w:t>
      </w:r>
      <w:r w:rsidR="0000138E">
        <w:rPr>
          <w:rFonts w:eastAsiaTheme="minorEastAsia" w:cs="Arial"/>
        </w:rPr>
        <w:t>clause 5.2.3</w:t>
      </w:r>
      <w:r w:rsidR="001A7822">
        <w:rPr>
          <w:rFonts w:eastAsiaTheme="minorEastAsia" w:cs="Arial"/>
        </w:rPr>
        <w:t>, 31.102</w:t>
      </w:r>
      <w:r>
        <w:rPr>
          <w:rFonts w:eastAsiaTheme="minorEastAsia" w:cs="Arial"/>
        </w:rPr>
        <w:t xml:space="preserve"> </w:t>
      </w:r>
      <w:r w:rsidR="0000138E">
        <w:rPr>
          <w:rFonts w:eastAsiaTheme="minorEastAsia" w:cs="Arial"/>
        </w:rPr>
        <w:t>clause 4.6.5.4</w:t>
      </w:r>
      <w:r w:rsidR="001A7822">
        <w:rPr>
          <w:rFonts w:eastAsiaTheme="minorEastAsia" w:cs="Arial"/>
        </w:rPr>
        <w:t xml:space="preserve"> and 24.588</w:t>
      </w:r>
      <w:r w:rsidR="00125167">
        <w:rPr>
          <w:rFonts w:eastAsiaTheme="minorEastAsia" w:cs="Arial"/>
        </w:rPr>
        <w:t xml:space="preserve"> </w:t>
      </w:r>
      <w:r w:rsidR="0000138E">
        <w:rPr>
          <w:rFonts w:eastAsiaTheme="minorEastAsia" w:cs="Arial"/>
        </w:rPr>
        <w:t>clause 5.3</w:t>
      </w:r>
      <w:r w:rsidR="001A7822">
        <w:rPr>
          <w:rFonts w:eastAsiaTheme="minorEastAsia" w:cs="Arial"/>
        </w:rPr>
        <w:t xml:space="preserve">.  </w:t>
      </w:r>
    </w:p>
    <w:p w14:paraId="154F8219" w14:textId="77777777" w:rsidR="001A7822" w:rsidRDefault="001A7822" w:rsidP="001A7822">
      <w:pPr>
        <w:spacing w:line="276" w:lineRule="auto"/>
        <w:rPr>
          <w:rFonts w:eastAsiaTheme="minorEastAsia" w:cs="Arial"/>
        </w:rPr>
      </w:pPr>
    </w:p>
    <w:p w14:paraId="4CFBC0CB" w14:textId="099AADA5" w:rsidR="001A7822" w:rsidRDefault="00A14308" w:rsidP="001A7822">
      <w:pPr>
        <w:spacing w:after="100" w:afterAutospacing="1" w:line="276" w:lineRule="auto"/>
        <w:rPr>
          <w:rFonts w:cs="Arial"/>
          <w:bCs/>
        </w:rPr>
      </w:pPr>
      <w:r w:rsidRPr="007419B6">
        <w:rPr>
          <w:rFonts w:cs="Arial"/>
        </w:rPr>
        <w:t xml:space="preserve">RAN2 respectfully </w:t>
      </w:r>
      <w:r>
        <w:rPr>
          <w:rFonts w:cs="Arial"/>
        </w:rPr>
        <w:t>asks</w:t>
      </w:r>
      <w:r w:rsidRPr="007419B6">
        <w:rPr>
          <w:rFonts w:cs="Arial"/>
        </w:rPr>
        <w:t xml:space="preserve"> </w:t>
      </w:r>
      <w:r>
        <w:rPr>
          <w:rFonts w:cs="Arial"/>
        </w:rPr>
        <w:t>SA2 on the following questions</w:t>
      </w:r>
    </w:p>
    <w:p w14:paraId="334FF430" w14:textId="4E69231A" w:rsidR="00E050BD" w:rsidRDefault="001A7822" w:rsidP="001A7822">
      <w:pPr>
        <w:spacing w:after="100" w:afterAutospacing="1" w:line="276" w:lineRule="auto"/>
        <w:rPr>
          <w:rFonts w:eastAsia="Malgun Gothic" w:cs="Arial"/>
          <w:lang w:eastAsia="ko-KR"/>
        </w:rPr>
      </w:pPr>
      <w:r w:rsidRPr="006E797B">
        <w:rPr>
          <w:rFonts w:eastAsia="Malgun Gothic" w:cs="Arial"/>
          <w:b/>
          <w:lang w:eastAsia="ko-KR"/>
        </w:rPr>
        <w:lastRenderedPageBreak/>
        <w:t>Q1</w:t>
      </w:r>
      <w:r>
        <w:rPr>
          <w:rFonts w:eastAsia="Malgun Gothic" w:cs="Arial"/>
          <w:lang w:eastAsia="ko-KR"/>
        </w:rPr>
        <w:t xml:space="preserve">: </w:t>
      </w:r>
      <w:r w:rsidR="00E050BD">
        <w:rPr>
          <w:rFonts w:eastAsia="Malgun Gothic" w:cs="Arial"/>
          <w:lang w:eastAsia="ko-KR"/>
        </w:rPr>
        <w:t xml:space="preserve">To accomplish the above bullet in R17 </w:t>
      </w:r>
      <w:r w:rsidR="0000138E" w:rsidRPr="00344776">
        <w:rPr>
          <w:rFonts w:eastAsiaTheme="minorEastAsia" w:cs="Arial"/>
        </w:rPr>
        <w:t xml:space="preserve">NR </w:t>
      </w:r>
      <w:proofErr w:type="spellStart"/>
      <w:r w:rsidR="0000138E" w:rsidRPr="00344776">
        <w:rPr>
          <w:rFonts w:eastAsiaTheme="minorEastAsia" w:cs="Arial"/>
        </w:rPr>
        <w:t>sidelink</w:t>
      </w:r>
      <w:proofErr w:type="spellEnd"/>
      <w:r w:rsidR="0000138E" w:rsidRPr="00344776">
        <w:rPr>
          <w:rFonts w:eastAsiaTheme="minorEastAsia" w:cs="Arial"/>
        </w:rPr>
        <w:t xml:space="preserve"> enhancement</w:t>
      </w:r>
      <w:r w:rsidR="00E050BD">
        <w:rPr>
          <w:rFonts w:eastAsia="Malgun Gothic" w:cs="Arial"/>
          <w:lang w:eastAsia="ko-KR"/>
        </w:rPr>
        <w:t>,</w:t>
      </w:r>
      <w:r w:rsidRPr="003F6BD7">
        <w:rPr>
          <w:rFonts w:eastAsia="Malgun Gothic" w:cs="Arial"/>
          <w:lang w:eastAsia="ko-KR"/>
        </w:rPr>
        <w:t xml:space="preserve"> </w:t>
      </w:r>
      <w:r w:rsidR="00A14308">
        <w:rPr>
          <w:rFonts w:eastAsia="Malgun Gothic" w:cs="Arial"/>
          <w:lang w:eastAsia="ko-KR"/>
        </w:rPr>
        <w:t xml:space="preserve">whether </w:t>
      </w:r>
      <w:r w:rsidRPr="003F6BD7">
        <w:rPr>
          <w:rFonts w:eastAsia="Malgun Gothic" w:cs="Arial"/>
          <w:lang w:eastAsia="ko-KR"/>
        </w:rPr>
        <w:t xml:space="preserve">the mechanism for </w:t>
      </w:r>
      <w:r w:rsidR="00E050BD">
        <w:rPr>
          <w:rFonts w:eastAsia="Malgun Gothic" w:cs="Arial"/>
          <w:lang w:eastAsia="ko-KR"/>
        </w:rPr>
        <w:t>R16 NR-</w:t>
      </w:r>
      <w:r w:rsidRPr="003F6BD7">
        <w:rPr>
          <w:rFonts w:eastAsia="Malgun Gothic" w:cs="Arial"/>
          <w:lang w:eastAsia="ko-KR"/>
        </w:rPr>
        <w:t xml:space="preserve">V2X </w:t>
      </w:r>
      <w:r w:rsidR="00E050BD">
        <w:rPr>
          <w:rFonts w:eastAsia="Malgun Gothic" w:cs="Arial"/>
          <w:lang w:eastAsia="ko-KR"/>
        </w:rPr>
        <w:t xml:space="preserve">for </w:t>
      </w:r>
      <w:r w:rsidRPr="003F6BD7">
        <w:rPr>
          <w:rFonts w:eastAsia="Malgun Gothic" w:cs="Arial"/>
          <w:lang w:eastAsia="ko-KR"/>
        </w:rPr>
        <w:t xml:space="preserve">ITS bands operation in predetermined geographic area(s) for a given frequency range can be reused </w:t>
      </w:r>
      <w:r w:rsidR="00A14308">
        <w:rPr>
          <w:rFonts w:eastAsia="Malgun Gothic" w:cs="Arial"/>
          <w:lang w:eastAsia="ko-KR"/>
        </w:rPr>
        <w:t>for</w:t>
      </w:r>
      <w:r w:rsidRPr="003F6BD7">
        <w:rPr>
          <w:rFonts w:eastAsia="Malgun Gothic" w:cs="Arial"/>
          <w:lang w:eastAsia="ko-KR"/>
        </w:rPr>
        <w:t xml:space="preserve"> </w:t>
      </w:r>
      <w:r w:rsidR="00E050BD">
        <w:rPr>
          <w:rFonts w:eastAsia="Malgun Gothic" w:cs="Arial"/>
          <w:lang w:eastAsia="ko-KR"/>
        </w:rPr>
        <w:t xml:space="preserve">R17 </w:t>
      </w:r>
      <w:proofErr w:type="spellStart"/>
      <w:r w:rsidRPr="003F6BD7">
        <w:rPr>
          <w:rFonts w:eastAsia="Malgun Gothic" w:cs="Arial"/>
          <w:lang w:eastAsia="ko-KR"/>
        </w:rPr>
        <w:t>sidelink</w:t>
      </w:r>
      <w:proofErr w:type="spellEnd"/>
      <w:r w:rsidRPr="003F6BD7">
        <w:rPr>
          <w:rFonts w:eastAsia="Malgun Gothic" w:cs="Arial"/>
          <w:lang w:eastAsia="ko-KR"/>
        </w:rPr>
        <w:t xml:space="preserve"> </w:t>
      </w:r>
      <w:r w:rsidR="00A14308">
        <w:rPr>
          <w:rFonts w:eastAsia="Malgun Gothic" w:cs="Arial"/>
          <w:lang w:eastAsia="ko-KR"/>
        </w:rPr>
        <w:t>in</w:t>
      </w:r>
      <w:r w:rsidR="00E050BD">
        <w:rPr>
          <w:rFonts w:eastAsia="Malgun Gothic" w:cs="Arial"/>
          <w:lang w:eastAsia="ko-KR"/>
        </w:rPr>
        <w:t xml:space="preserve"> </w:t>
      </w:r>
      <w:r w:rsidRPr="003F6BD7">
        <w:rPr>
          <w:rFonts w:eastAsia="Malgun Gothic" w:cs="Arial"/>
          <w:lang w:eastAsia="ko-KR"/>
        </w:rPr>
        <w:t>non-ITS bands</w:t>
      </w:r>
      <w:r w:rsidR="00E050BD">
        <w:rPr>
          <w:rFonts w:eastAsia="Malgun Gothic" w:cs="Arial"/>
          <w:lang w:eastAsia="ko-KR"/>
        </w:rPr>
        <w:t xml:space="preserve">? </w:t>
      </w:r>
    </w:p>
    <w:p w14:paraId="71201086" w14:textId="32746A86" w:rsidR="001A7822" w:rsidRDefault="00E050BD" w:rsidP="001A7822">
      <w:pPr>
        <w:spacing w:after="100" w:afterAutospacing="1" w:line="276" w:lineRule="auto"/>
        <w:rPr>
          <w:rFonts w:eastAsia="Malgun Gothic" w:cs="Arial"/>
          <w:lang w:eastAsia="ko-KR"/>
        </w:rPr>
      </w:pPr>
      <w:r w:rsidRPr="002E0F31">
        <w:rPr>
          <w:rFonts w:eastAsia="Malgun Gothic" w:cs="Arial"/>
          <w:b/>
          <w:lang w:eastAsia="ko-KR"/>
        </w:rPr>
        <w:t>Q2</w:t>
      </w:r>
      <w:r>
        <w:rPr>
          <w:rFonts w:eastAsia="Malgun Gothic" w:cs="Arial"/>
          <w:lang w:eastAsia="ko-KR"/>
        </w:rPr>
        <w:t xml:space="preserve">: if Yes to Q1, can SA2 cover this part </w:t>
      </w:r>
      <w:r w:rsidR="00A14308">
        <w:rPr>
          <w:rFonts w:eastAsia="Malgun Gothic" w:cs="Arial"/>
          <w:lang w:eastAsia="ko-KR"/>
        </w:rPr>
        <w:t>in</w:t>
      </w:r>
      <w:r>
        <w:rPr>
          <w:rFonts w:eastAsia="Malgun Gothic" w:cs="Arial"/>
          <w:lang w:eastAsia="ko-KR"/>
        </w:rPr>
        <w:t xml:space="preserve"> the normative work in R17? </w:t>
      </w:r>
    </w:p>
    <w:p w14:paraId="7626CA48" w14:textId="77777777" w:rsidR="001A7822" w:rsidRPr="003F6BD7" w:rsidRDefault="001A7822" w:rsidP="001A7822">
      <w:pPr>
        <w:spacing w:after="100" w:afterAutospacing="1" w:line="276" w:lineRule="auto"/>
        <w:rPr>
          <w:rFonts w:cs="Arial"/>
          <w:b/>
        </w:rPr>
      </w:pPr>
    </w:p>
    <w:p w14:paraId="492B11AF" w14:textId="77777777" w:rsidR="001A7822" w:rsidRPr="007419B6" w:rsidRDefault="001A7822" w:rsidP="001A7822">
      <w:pPr>
        <w:rPr>
          <w:rFonts w:cs="Arial"/>
          <w:b/>
        </w:rPr>
      </w:pPr>
      <w:r w:rsidRPr="007419B6">
        <w:rPr>
          <w:rFonts w:cs="Arial"/>
          <w:b/>
        </w:rPr>
        <w:t>2. Actions:</w:t>
      </w:r>
    </w:p>
    <w:p w14:paraId="14524536" w14:textId="3727547F" w:rsidR="001A7822" w:rsidRPr="007419B6" w:rsidRDefault="001A7822" w:rsidP="001A7822">
      <w:pPr>
        <w:ind w:left="1985" w:hanging="1985"/>
        <w:rPr>
          <w:rFonts w:cs="Arial"/>
          <w:b/>
        </w:rPr>
      </w:pPr>
      <w:r w:rsidRPr="007419B6">
        <w:rPr>
          <w:rFonts w:cs="Arial"/>
          <w:b/>
        </w:rPr>
        <w:t xml:space="preserve">To </w:t>
      </w:r>
      <w:r w:rsidRPr="003F6BD7">
        <w:rPr>
          <w:rFonts w:cs="Arial"/>
          <w:b/>
        </w:rPr>
        <w:t>SA2</w:t>
      </w:r>
      <w:r w:rsidRPr="007419B6">
        <w:rPr>
          <w:rFonts w:cs="Arial"/>
          <w:b/>
        </w:rPr>
        <w:t xml:space="preserve"> group</w:t>
      </w:r>
    </w:p>
    <w:p w14:paraId="3335EBE7" w14:textId="333A6331" w:rsidR="001A7822" w:rsidRPr="007419B6" w:rsidRDefault="001A7822" w:rsidP="001A7822">
      <w:pPr>
        <w:rPr>
          <w:rFonts w:eastAsia="Malgun Gothic" w:cs="Arial"/>
          <w:lang w:eastAsia="ko-KR"/>
        </w:rPr>
      </w:pPr>
      <w:r w:rsidRPr="007419B6">
        <w:rPr>
          <w:rFonts w:cs="Arial"/>
        </w:rPr>
        <w:t xml:space="preserve">RAN2 respectfully requests </w:t>
      </w:r>
      <w:r>
        <w:rPr>
          <w:rFonts w:cs="Arial"/>
        </w:rPr>
        <w:t xml:space="preserve">SA2 </w:t>
      </w:r>
      <w:r w:rsidR="00E050BD">
        <w:rPr>
          <w:rFonts w:cs="Arial"/>
        </w:rPr>
        <w:t>to provide feedback</w:t>
      </w:r>
      <w:r>
        <w:rPr>
          <w:rFonts w:cs="Arial"/>
        </w:rPr>
        <w:t xml:space="preserve"> on Q1</w:t>
      </w:r>
      <w:r w:rsidR="00E050BD">
        <w:rPr>
          <w:rFonts w:cs="Arial"/>
        </w:rPr>
        <w:t xml:space="preserve"> and Q2</w:t>
      </w:r>
      <w:r>
        <w:rPr>
          <w:rFonts w:cs="Arial"/>
        </w:rPr>
        <w:t xml:space="preserve"> as above</w:t>
      </w:r>
      <w:r w:rsidRPr="007419B6">
        <w:rPr>
          <w:rFonts w:cs="Arial"/>
        </w:rPr>
        <w:t>.</w:t>
      </w:r>
    </w:p>
    <w:p w14:paraId="36A7DB1B" w14:textId="77777777" w:rsidR="001A7822" w:rsidRPr="00B1348F" w:rsidRDefault="001A7822" w:rsidP="001A7822">
      <w:pPr>
        <w:ind w:left="993" w:hanging="993"/>
        <w:rPr>
          <w:rFonts w:eastAsia="Malgun Gothic" w:cs="Arial"/>
          <w:lang w:eastAsia="ko-KR"/>
        </w:rPr>
      </w:pPr>
      <w:bookmarkStart w:id="13" w:name="_GoBack"/>
      <w:bookmarkEnd w:id="13"/>
    </w:p>
    <w:p w14:paraId="608D5AA5" w14:textId="77777777" w:rsidR="001A7822" w:rsidRPr="007419B6" w:rsidRDefault="001A7822" w:rsidP="001A7822">
      <w:pPr>
        <w:rPr>
          <w:rFonts w:cs="Arial"/>
          <w:b/>
        </w:rPr>
      </w:pPr>
      <w:r w:rsidRPr="007419B6">
        <w:rPr>
          <w:rFonts w:cs="Arial"/>
          <w:b/>
        </w:rPr>
        <w:t>3. Date of Next TSG-RAN2 Meetings:</w:t>
      </w:r>
    </w:p>
    <w:p w14:paraId="29DB62DB" w14:textId="77777777" w:rsidR="001A7822" w:rsidRDefault="001A7822" w:rsidP="001A7822">
      <w:pPr>
        <w:tabs>
          <w:tab w:val="left" w:pos="5103"/>
        </w:tabs>
        <w:ind w:left="2268" w:hanging="2268"/>
        <w:rPr>
          <w:rFonts w:cs="Arial"/>
          <w:bCs/>
        </w:rPr>
      </w:pPr>
      <w:r w:rsidRPr="007419B6">
        <w:rPr>
          <w:rFonts w:cs="Arial"/>
          <w:bCs/>
        </w:rPr>
        <w:t>3GPPRAN2#11</w:t>
      </w:r>
      <w:r>
        <w:rPr>
          <w:rFonts w:cs="Arial"/>
          <w:bCs/>
        </w:rPr>
        <w:t>3</w:t>
      </w:r>
      <w:r w:rsidRPr="00C1745E">
        <w:rPr>
          <w:rFonts w:cs="Arial"/>
          <w:bCs/>
        </w:rPr>
        <w:tab/>
      </w:r>
      <w:r>
        <w:rPr>
          <w:rFonts w:cs="Arial"/>
          <w:bCs/>
        </w:rPr>
        <w:t xml:space="preserve">25 January – 5 February </w:t>
      </w:r>
      <w:r w:rsidRPr="00C1745E">
        <w:rPr>
          <w:rFonts w:cs="Arial"/>
          <w:bCs/>
        </w:rPr>
        <w:t>2021</w:t>
      </w:r>
      <w:r w:rsidRPr="00C1745E">
        <w:rPr>
          <w:rFonts w:cs="Arial"/>
          <w:bCs/>
        </w:rPr>
        <w:tab/>
      </w:r>
      <w:r>
        <w:rPr>
          <w:rFonts w:cs="Arial" w:hint="eastAsia"/>
          <w:bCs/>
        </w:rPr>
        <w:t>E</w:t>
      </w:r>
      <w:r>
        <w:rPr>
          <w:rFonts w:cs="Arial"/>
          <w:bCs/>
        </w:rPr>
        <w:t>-meeting</w:t>
      </w:r>
    </w:p>
    <w:p w14:paraId="606C2926" w14:textId="77777777" w:rsidR="001A7822" w:rsidRPr="0054084F" w:rsidRDefault="001A7822" w:rsidP="001A7822">
      <w:pPr>
        <w:tabs>
          <w:tab w:val="left" w:pos="5103"/>
        </w:tabs>
        <w:ind w:left="2268" w:hanging="2268"/>
        <w:rPr>
          <w:rFonts w:cs="Arial"/>
          <w:bCs/>
        </w:rPr>
      </w:pPr>
      <w:r w:rsidRPr="007419B6">
        <w:rPr>
          <w:rFonts w:cs="Arial"/>
          <w:bCs/>
        </w:rPr>
        <w:t>3GPPRAN2#11</w:t>
      </w:r>
      <w:r>
        <w:rPr>
          <w:rFonts w:cs="Arial"/>
          <w:bCs/>
        </w:rPr>
        <w:t xml:space="preserve">3-bis </w:t>
      </w:r>
      <w:r>
        <w:rPr>
          <w:rFonts w:cs="Arial"/>
          <w:bCs/>
        </w:rPr>
        <w:tab/>
      </w:r>
      <w:r w:rsidRPr="0054084F">
        <w:rPr>
          <w:rFonts w:cs="Arial"/>
          <w:bCs/>
        </w:rPr>
        <w:t>12</w:t>
      </w:r>
      <w:r>
        <w:rPr>
          <w:rFonts w:cs="Arial"/>
          <w:bCs/>
        </w:rPr>
        <w:t>-21 April 2021</w:t>
      </w:r>
      <w:r>
        <w:rPr>
          <w:rFonts w:cs="Arial"/>
          <w:bCs/>
        </w:rPr>
        <w:tab/>
        <w:t>E-meeting</w:t>
      </w:r>
    </w:p>
    <w:p w14:paraId="30737C7C" w14:textId="77777777" w:rsidR="001A7822" w:rsidRPr="00631FAE" w:rsidRDefault="001A7822" w:rsidP="001A7822">
      <w:pPr>
        <w:tabs>
          <w:tab w:val="left" w:pos="5103"/>
        </w:tabs>
        <w:ind w:left="2268" w:hanging="2268"/>
        <w:rPr>
          <w:rFonts w:cs="Arial"/>
          <w:bCs/>
        </w:rPr>
      </w:pPr>
    </w:p>
    <w:p w14:paraId="31CD95EE" w14:textId="77777777" w:rsidR="0030223C" w:rsidRPr="0030223C" w:rsidRDefault="0030223C" w:rsidP="002E0F31"/>
    <w:sectPr w:rsidR="0030223C" w:rsidRPr="0030223C">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C7267" w14:textId="77777777" w:rsidR="00AF2437" w:rsidRDefault="00AF2437">
      <w:pPr>
        <w:spacing w:after="0"/>
      </w:pPr>
      <w:r>
        <w:separator/>
      </w:r>
    </w:p>
  </w:endnote>
  <w:endnote w:type="continuationSeparator" w:id="0">
    <w:p w14:paraId="65CEE845" w14:textId="77777777" w:rsidR="00AF2437" w:rsidRDefault="00AF24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754440" w:rsidRDefault="00754440">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19C04" w14:textId="77777777" w:rsidR="00AF2437" w:rsidRDefault="00AF2437">
      <w:pPr>
        <w:spacing w:after="0"/>
      </w:pPr>
      <w:r>
        <w:separator/>
      </w:r>
    </w:p>
  </w:footnote>
  <w:footnote w:type="continuationSeparator" w:id="0">
    <w:p w14:paraId="0E9F6374" w14:textId="77777777" w:rsidR="00AF2437" w:rsidRDefault="00AF24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846ADE6"/>
    <w:multiLevelType w:val="singleLevel"/>
    <w:tmpl w:val="D846ADE6"/>
    <w:lvl w:ilvl="0">
      <w:start w:val="1"/>
      <w:numFmt w:val="decimal"/>
      <w:lvlText w:val="Proposal %1"/>
      <w:lvlJc w:val="left"/>
      <w:pPr>
        <w:tabs>
          <w:tab w:val="num" w:pos="420"/>
        </w:tabs>
        <w:ind w:left="850" w:hanging="425"/>
      </w:pPr>
      <w:rPr>
        <w:rFonts w:ascii="Arial" w:hAnsi="Arial" w:hint="default"/>
        <w:b/>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1A0930"/>
    <w:multiLevelType w:val="hybridMultilevel"/>
    <w:tmpl w:val="CE0A11D8"/>
    <w:lvl w:ilvl="0" w:tplc="341C6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985986"/>
    <w:multiLevelType w:val="hybridMultilevel"/>
    <w:tmpl w:val="2D80ED34"/>
    <w:lvl w:ilvl="0" w:tplc="5E7E74E0">
      <w:start w:val="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025992"/>
    <w:multiLevelType w:val="hybridMultilevel"/>
    <w:tmpl w:val="5B040D88"/>
    <w:lvl w:ilvl="0" w:tplc="C634626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680CD0"/>
    <w:multiLevelType w:val="hybridMultilevel"/>
    <w:tmpl w:val="846EF090"/>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C8033B"/>
    <w:multiLevelType w:val="hybridMultilevel"/>
    <w:tmpl w:val="C2DCE3B8"/>
    <w:lvl w:ilvl="0" w:tplc="425082C8">
      <w:start w:val="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EC05F2"/>
    <w:multiLevelType w:val="multilevel"/>
    <w:tmpl w:val="87ECE66E"/>
    <w:lvl w:ilvl="0">
      <w:start w:val="1"/>
      <w:numFmt w:val="upperLetter"/>
      <w:lvlText w:val="%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904" w:hanging="360"/>
      </w:pPr>
      <w:rPr>
        <w:rFonts w:hint="default"/>
      </w:rPr>
    </w:lvl>
    <w:lvl w:ilvl="1">
      <w:start w:val="1"/>
      <w:numFmt w:val="lowerLetter"/>
      <w:lvlText w:val="%2."/>
      <w:lvlJc w:val="left"/>
      <w:pPr>
        <w:ind w:left="4984" w:hanging="360"/>
      </w:pPr>
    </w:lvl>
    <w:lvl w:ilvl="2">
      <w:start w:val="1"/>
      <w:numFmt w:val="lowerRoman"/>
      <w:lvlText w:val="%3."/>
      <w:lvlJc w:val="right"/>
      <w:pPr>
        <w:ind w:left="5704" w:hanging="180"/>
      </w:pPr>
    </w:lvl>
    <w:lvl w:ilvl="3">
      <w:start w:val="1"/>
      <w:numFmt w:val="decimal"/>
      <w:lvlText w:val="%4."/>
      <w:lvlJc w:val="left"/>
      <w:pPr>
        <w:ind w:left="6424" w:hanging="360"/>
      </w:pPr>
    </w:lvl>
    <w:lvl w:ilvl="4">
      <w:start w:val="1"/>
      <w:numFmt w:val="lowerLetter"/>
      <w:lvlText w:val="%5."/>
      <w:lvlJc w:val="left"/>
      <w:pPr>
        <w:ind w:left="7144" w:hanging="360"/>
      </w:pPr>
    </w:lvl>
    <w:lvl w:ilvl="5">
      <w:start w:val="1"/>
      <w:numFmt w:val="lowerRoman"/>
      <w:lvlText w:val="%6."/>
      <w:lvlJc w:val="right"/>
      <w:pPr>
        <w:ind w:left="7864" w:hanging="180"/>
      </w:pPr>
    </w:lvl>
    <w:lvl w:ilvl="6">
      <w:start w:val="1"/>
      <w:numFmt w:val="decimal"/>
      <w:lvlText w:val="%7."/>
      <w:lvlJc w:val="left"/>
      <w:pPr>
        <w:ind w:left="8584" w:hanging="360"/>
      </w:pPr>
    </w:lvl>
    <w:lvl w:ilvl="7">
      <w:start w:val="1"/>
      <w:numFmt w:val="lowerLetter"/>
      <w:lvlText w:val="%8."/>
      <w:lvlJc w:val="left"/>
      <w:pPr>
        <w:ind w:left="9304" w:hanging="360"/>
      </w:pPr>
    </w:lvl>
    <w:lvl w:ilvl="8">
      <w:start w:val="1"/>
      <w:numFmt w:val="lowerRoman"/>
      <w:lvlText w:val="%9."/>
      <w:lvlJc w:val="right"/>
      <w:pPr>
        <w:ind w:left="10024"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862EA6"/>
    <w:multiLevelType w:val="hybridMultilevel"/>
    <w:tmpl w:val="94F276EE"/>
    <w:lvl w:ilvl="0" w:tplc="4DD2D3B0">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6576994"/>
    <w:multiLevelType w:val="hybridMultilevel"/>
    <w:tmpl w:val="D2BAADAA"/>
    <w:lvl w:ilvl="0" w:tplc="0F1CF7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475B44"/>
    <w:multiLevelType w:val="hybridMultilevel"/>
    <w:tmpl w:val="61DEE416"/>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4E1B4A"/>
    <w:multiLevelType w:val="hybridMultilevel"/>
    <w:tmpl w:val="BC7086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6294C32"/>
    <w:multiLevelType w:val="hybridMultilevel"/>
    <w:tmpl w:val="C9CE7270"/>
    <w:lvl w:ilvl="0" w:tplc="E3D02EE8">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8C1987"/>
    <w:multiLevelType w:val="hybridMultilevel"/>
    <w:tmpl w:val="A62A0E14"/>
    <w:lvl w:ilvl="0" w:tplc="604E243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7"/>
  </w:num>
  <w:num w:numId="3">
    <w:abstractNumId w:val="9"/>
  </w:num>
  <w:num w:numId="4">
    <w:abstractNumId w:val="12"/>
  </w:num>
  <w:num w:numId="5">
    <w:abstractNumId w:val="8"/>
  </w:num>
  <w:num w:numId="6">
    <w:abstractNumId w:val="11"/>
  </w:num>
  <w:num w:numId="7">
    <w:abstractNumId w:val="10"/>
  </w:num>
  <w:num w:numId="8">
    <w:abstractNumId w:val="15"/>
  </w:num>
  <w:num w:numId="9">
    <w:abstractNumId w:val="28"/>
  </w:num>
  <w:num w:numId="10">
    <w:abstractNumId w:val="16"/>
  </w:num>
  <w:num w:numId="11">
    <w:abstractNumId w:val="27"/>
  </w:num>
  <w:num w:numId="12">
    <w:abstractNumId w:val="14"/>
  </w:num>
  <w:num w:numId="13">
    <w:abstractNumId w:val="20"/>
  </w:num>
  <w:num w:numId="14">
    <w:abstractNumId w:val="23"/>
  </w:num>
  <w:num w:numId="15">
    <w:abstractNumId w:val="26"/>
  </w:num>
  <w:num w:numId="16">
    <w:abstractNumId w:val="2"/>
  </w:num>
  <w:num w:numId="17">
    <w:abstractNumId w:val="21"/>
  </w:num>
  <w:num w:numId="18">
    <w:abstractNumId w:val="13"/>
  </w:num>
  <w:num w:numId="19">
    <w:abstractNumId w:val="25"/>
  </w:num>
  <w:num w:numId="20">
    <w:abstractNumId w:val="6"/>
  </w:num>
  <w:num w:numId="21">
    <w:abstractNumId w:val="1"/>
  </w:num>
  <w:num w:numId="22">
    <w:abstractNumId w:val="3"/>
  </w:num>
  <w:num w:numId="23">
    <w:abstractNumId w:val="22"/>
  </w:num>
  <w:num w:numId="24">
    <w:abstractNumId w:val="24"/>
  </w:num>
  <w:num w:numId="25">
    <w:abstractNumId w:val="5"/>
  </w:num>
  <w:num w:numId="26">
    <w:abstractNumId w:val="1"/>
  </w:num>
  <w:num w:numId="27">
    <w:abstractNumId w:val="1"/>
  </w:num>
  <w:num w:numId="28">
    <w:abstractNumId w:val="1"/>
  </w:num>
  <w:num w:numId="29">
    <w:abstractNumId w:val="0"/>
  </w:num>
  <w:num w:numId="30">
    <w:abstractNumId w:val="15"/>
  </w:num>
  <w:num w:numId="31">
    <w:abstractNumId w:val="18"/>
  </w:num>
  <w:num w:numId="32">
    <w:abstractNumId w:val="15"/>
  </w:num>
  <w:num w:numId="33">
    <w:abstractNumId w:val="7"/>
  </w:num>
  <w:num w:numId="34">
    <w:abstractNumId w:val="4"/>
  </w:num>
  <w:num w:numId="35">
    <w:abstractNumId w:val="1"/>
  </w:num>
  <w:num w:numId="36">
    <w:abstractNumId w:val="1"/>
  </w:num>
  <w:num w:numId="37">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oFAC228hstAAAA"/>
  </w:docVars>
  <w:rsids>
    <w:rsidRoot w:val="002804D3"/>
    <w:rsid w:val="000006E1"/>
    <w:rsid w:val="00000EBA"/>
    <w:rsid w:val="0000138E"/>
    <w:rsid w:val="000013AA"/>
    <w:rsid w:val="00001757"/>
    <w:rsid w:val="00001D15"/>
    <w:rsid w:val="00001EE9"/>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30CF"/>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46970"/>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4F4B"/>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97724"/>
    <w:rsid w:val="000A0F3C"/>
    <w:rsid w:val="000A1B7B"/>
    <w:rsid w:val="000A2482"/>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6EA6"/>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4934"/>
    <w:rsid w:val="00125167"/>
    <w:rsid w:val="00125338"/>
    <w:rsid w:val="00125C96"/>
    <w:rsid w:val="001260FB"/>
    <w:rsid w:val="00126B4A"/>
    <w:rsid w:val="00127360"/>
    <w:rsid w:val="0012778D"/>
    <w:rsid w:val="00127B91"/>
    <w:rsid w:val="0013056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B48"/>
    <w:rsid w:val="00193C64"/>
    <w:rsid w:val="00194D6B"/>
    <w:rsid w:val="00195401"/>
    <w:rsid w:val="00195914"/>
    <w:rsid w:val="00195E60"/>
    <w:rsid w:val="001960B4"/>
    <w:rsid w:val="00197DF9"/>
    <w:rsid w:val="00197E05"/>
    <w:rsid w:val="001A0948"/>
    <w:rsid w:val="001A13A5"/>
    <w:rsid w:val="001A14AB"/>
    <w:rsid w:val="001A17DA"/>
    <w:rsid w:val="001A1987"/>
    <w:rsid w:val="001A2489"/>
    <w:rsid w:val="001A2564"/>
    <w:rsid w:val="001A3CEA"/>
    <w:rsid w:val="001A5476"/>
    <w:rsid w:val="001A5E26"/>
    <w:rsid w:val="001A6173"/>
    <w:rsid w:val="001A622D"/>
    <w:rsid w:val="001A6CBA"/>
    <w:rsid w:val="001A7822"/>
    <w:rsid w:val="001B05F9"/>
    <w:rsid w:val="001B0B6C"/>
    <w:rsid w:val="001B0D97"/>
    <w:rsid w:val="001B0F91"/>
    <w:rsid w:val="001B1808"/>
    <w:rsid w:val="001B265B"/>
    <w:rsid w:val="001B3887"/>
    <w:rsid w:val="001B42D4"/>
    <w:rsid w:val="001B4EA3"/>
    <w:rsid w:val="001B58B3"/>
    <w:rsid w:val="001B5A5D"/>
    <w:rsid w:val="001B6A80"/>
    <w:rsid w:val="001B6D62"/>
    <w:rsid w:val="001B7284"/>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EB3"/>
    <w:rsid w:val="001E58E2"/>
    <w:rsid w:val="001E7AED"/>
    <w:rsid w:val="001F0CCF"/>
    <w:rsid w:val="001F3916"/>
    <w:rsid w:val="001F3DC2"/>
    <w:rsid w:val="001F54C5"/>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A90"/>
    <w:rsid w:val="00280D01"/>
    <w:rsid w:val="00280DC2"/>
    <w:rsid w:val="0028172C"/>
    <w:rsid w:val="00282041"/>
    <w:rsid w:val="0028280A"/>
    <w:rsid w:val="00284B82"/>
    <w:rsid w:val="00284D3F"/>
    <w:rsid w:val="002854AE"/>
    <w:rsid w:val="0028612D"/>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3194"/>
    <w:rsid w:val="002C3EF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0F31"/>
    <w:rsid w:val="002E178A"/>
    <w:rsid w:val="002E17F2"/>
    <w:rsid w:val="002E2BF2"/>
    <w:rsid w:val="002E2EF6"/>
    <w:rsid w:val="002E3600"/>
    <w:rsid w:val="002E5157"/>
    <w:rsid w:val="002E5A92"/>
    <w:rsid w:val="002E6A10"/>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23C"/>
    <w:rsid w:val="0030256B"/>
    <w:rsid w:val="00302897"/>
    <w:rsid w:val="0030313B"/>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85"/>
    <w:rsid w:val="003421F7"/>
    <w:rsid w:val="00342A10"/>
    <w:rsid w:val="00342BD7"/>
    <w:rsid w:val="00344776"/>
    <w:rsid w:val="003458E7"/>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045"/>
    <w:rsid w:val="003A38FC"/>
    <w:rsid w:val="003A3EB4"/>
    <w:rsid w:val="003A45A1"/>
    <w:rsid w:val="003A46B0"/>
    <w:rsid w:val="003A5154"/>
    <w:rsid w:val="003A5367"/>
    <w:rsid w:val="003A5B0A"/>
    <w:rsid w:val="003A5B77"/>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7B3"/>
    <w:rsid w:val="003D0A19"/>
    <w:rsid w:val="003D0E82"/>
    <w:rsid w:val="003D109F"/>
    <w:rsid w:val="003D2478"/>
    <w:rsid w:val="003D3C45"/>
    <w:rsid w:val="003D5B1F"/>
    <w:rsid w:val="003D62C8"/>
    <w:rsid w:val="003D64CC"/>
    <w:rsid w:val="003D6655"/>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6BBE"/>
    <w:rsid w:val="003F7D4F"/>
    <w:rsid w:val="003F7FCD"/>
    <w:rsid w:val="004000E8"/>
    <w:rsid w:val="00400664"/>
    <w:rsid w:val="00402CAD"/>
    <w:rsid w:val="00402E2B"/>
    <w:rsid w:val="0040381B"/>
    <w:rsid w:val="00403EA3"/>
    <w:rsid w:val="00404991"/>
    <w:rsid w:val="00404A9D"/>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2C69"/>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64FA"/>
    <w:rsid w:val="004B09A0"/>
    <w:rsid w:val="004B1FA5"/>
    <w:rsid w:val="004B254E"/>
    <w:rsid w:val="004B2B6D"/>
    <w:rsid w:val="004B32A3"/>
    <w:rsid w:val="004B5C2F"/>
    <w:rsid w:val="004B72FC"/>
    <w:rsid w:val="004B7C0C"/>
    <w:rsid w:val="004C005B"/>
    <w:rsid w:val="004C089A"/>
    <w:rsid w:val="004C1275"/>
    <w:rsid w:val="004C3898"/>
    <w:rsid w:val="004C4246"/>
    <w:rsid w:val="004C49D0"/>
    <w:rsid w:val="004C57ED"/>
    <w:rsid w:val="004C6233"/>
    <w:rsid w:val="004C6FC1"/>
    <w:rsid w:val="004D1E7F"/>
    <w:rsid w:val="004D1F5A"/>
    <w:rsid w:val="004D22F6"/>
    <w:rsid w:val="004D33EF"/>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71E"/>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6D2A"/>
    <w:rsid w:val="005574E6"/>
    <w:rsid w:val="00560F4B"/>
    <w:rsid w:val="0056121F"/>
    <w:rsid w:val="0056176B"/>
    <w:rsid w:val="00564032"/>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1488"/>
    <w:rsid w:val="00582809"/>
    <w:rsid w:val="00582CB2"/>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4750"/>
    <w:rsid w:val="005B50DB"/>
    <w:rsid w:val="005B6F83"/>
    <w:rsid w:val="005B794C"/>
    <w:rsid w:val="005C0A0D"/>
    <w:rsid w:val="005C1A97"/>
    <w:rsid w:val="005C3B16"/>
    <w:rsid w:val="005C49DE"/>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E7CF8"/>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23"/>
    <w:rsid w:val="0060283C"/>
    <w:rsid w:val="0060334B"/>
    <w:rsid w:val="006039AD"/>
    <w:rsid w:val="0060468F"/>
    <w:rsid w:val="00604F14"/>
    <w:rsid w:val="00605419"/>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BE2"/>
    <w:rsid w:val="00683E3F"/>
    <w:rsid w:val="00683ECE"/>
    <w:rsid w:val="00684C20"/>
    <w:rsid w:val="00685AF4"/>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5A09"/>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C79D7"/>
    <w:rsid w:val="006D04D1"/>
    <w:rsid w:val="006D47BE"/>
    <w:rsid w:val="006D4C6B"/>
    <w:rsid w:val="006D504F"/>
    <w:rsid w:val="006D5DC1"/>
    <w:rsid w:val="006D65C2"/>
    <w:rsid w:val="006D6F08"/>
    <w:rsid w:val="006D77D9"/>
    <w:rsid w:val="006E062C"/>
    <w:rsid w:val="006E157D"/>
    <w:rsid w:val="006E236A"/>
    <w:rsid w:val="006E28B7"/>
    <w:rsid w:val="006E2918"/>
    <w:rsid w:val="006E3310"/>
    <w:rsid w:val="006E34E7"/>
    <w:rsid w:val="006E3F65"/>
    <w:rsid w:val="006E43EE"/>
    <w:rsid w:val="006E4C3C"/>
    <w:rsid w:val="006E4E39"/>
    <w:rsid w:val="006E565E"/>
    <w:rsid w:val="006E5F94"/>
    <w:rsid w:val="006E673D"/>
    <w:rsid w:val="006E6F49"/>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0DF5"/>
    <w:rsid w:val="00751228"/>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1714"/>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7091"/>
    <w:rsid w:val="007E736D"/>
    <w:rsid w:val="007E7F7C"/>
    <w:rsid w:val="007F22C6"/>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4D91"/>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5812"/>
    <w:rsid w:val="0084651D"/>
    <w:rsid w:val="00846FE7"/>
    <w:rsid w:val="008470E5"/>
    <w:rsid w:val="00847316"/>
    <w:rsid w:val="0084745A"/>
    <w:rsid w:val="00850585"/>
    <w:rsid w:val="008516F5"/>
    <w:rsid w:val="008528D8"/>
    <w:rsid w:val="00853FD9"/>
    <w:rsid w:val="0085566A"/>
    <w:rsid w:val="00855A9E"/>
    <w:rsid w:val="00856911"/>
    <w:rsid w:val="00856F80"/>
    <w:rsid w:val="008571C1"/>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33AB"/>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5B14"/>
    <w:rsid w:val="008E7249"/>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1900"/>
    <w:rsid w:val="00901BD7"/>
    <w:rsid w:val="00902327"/>
    <w:rsid w:val="00902350"/>
    <w:rsid w:val="009032D3"/>
    <w:rsid w:val="0090336B"/>
    <w:rsid w:val="009053AA"/>
    <w:rsid w:val="009067C8"/>
    <w:rsid w:val="00906939"/>
    <w:rsid w:val="00910A74"/>
    <w:rsid w:val="00910B7D"/>
    <w:rsid w:val="00911DFB"/>
    <w:rsid w:val="00913063"/>
    <w:rsid w:val="0091311E"/>
    <w:rsid w:val="009139D9"/>
    <w:rsid w:val="00913CA6"/>
    <w:rsid w:val="00914AD8"/>
    <w:rsid w:val="00916079"/>
    <w:rsid w:val="00917CE9"/>
    <w:rsid w:val="00920BF2"/>
    <w:rsid w:val="00920DCC"/>
    <w:rsid w:val="009210EF"/>
    <w:rsid w:val="00921D86"/>
    <w:rsid w:val="00922010"/>
    <w:rsid w:val="00923EF6"/>
    <w:rsid w:val="0092563B"/>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0794"/>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8"/>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867"/>
    <w:rsid w:val="00A62A77"/>
    <w:rsid w:val="00A62F92"/>
    <w:rsid w:val="00A63483"/>
    <w:rsid w:val="00A63B68"/>
    <w:rsid w:val="00A657D7"/>
    <w:rsid w:val="00A660AC"/>
    <w:rsid w:val="00A663AA"/>
    <w:rsid w:val="00A67664"/>
    <w:rsid w:val="00A67E6C"/>
    <w:rsid w:val="00A71B99"/>
    <w:rsid w:val="00A721B8"/>
    <w:rsid w:val="00A72AE4"/>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886"/>
    <w:rsid w:val="00A97961"/>
    <w:rsid w:val="00A97C69"/>
    <w:rsid w:val="00A97D79"/>
    <w:rsid w:val="00A97DD5"/>
    <w:rsid w:val="00AA016F"/>
    <w:rsid w:val="00AA0CA6"/>
    <w:rsid w:val="00AA1529"/>
    <w:rsid w:val="00AA1984"/>
    <w:rsid w:val="00AA1ED6"/>
    <w:rsid w:val="00AA22E1"/>
    <w:rsid w:val="00AA35B9"/>
    <w:rsid w:val="00AA36F0"/>
    <w:rsid w:val="00AA3B59"/>
    <w:rsid w:val="00AA3DE4"/>
    <w:rsid w:val="00AA51D6"/>
    <w:rsid w:val="00AA584F"/>
    <w:rsid w:val="00AB09A3"/>
    <w:rsid w:val="00AB0B21"/>
    <w:rsid w:val="00AB0BC8"/>
    <w:rsid w:val="00AB11CA"/>
    <w:rsid w:val="00AB14D9"/>
    <w:rsid w:val="00AB1616"/>
    <w:rsid w:val="00AB19AE"/>
    <w:rsid w:val="00AB1FE5"/>
    <w:rsid w:val="00AB2057"/>
    <w:rsid w:val="00AB2ECF"/>
    <w:rsid w:val="00AB349D"/>
    <w:rsid w:val="00AB4AB8"/>
    <w:rsid w:val="00AB4E59"/>
    <w:rsid w:val="00AB5769"/>
    <w:rsid w:val="00AB655E"/>
    <w:rsid w:val="00AB680E"/>
    <w:rsid w:val="00AB6AD7"/>
    <w:rsid w:val="00AB6AF7"/>
    <w:rsid w:val="00AB746C"/>
    <w:rsid w:val="00AC000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437"/>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3C6"/>
    <w:rsid w:val="00B36C4B"/>
    <w:rsid w:val="00B372AA"/>
    <w:rsid w:val="00B37BBF"/>
    <w:rsid w:val="00B40445"/>
    <w:rsid w:val="00B41888"/>
    <w:rsid w:val="00B41BC6"/>
    <w:rsid w:val="00B43E66"/>
    <w:rsid w:val="00B445BC"/>
    <w:rsid w:val="00B446EA"/>
    <w:rsid w:val="00B44EA9"/>
    <w:rsid w:val="00B45A52"/>
    <w:rsid w:val="00B46175"/>
    <w:rsid w:val="00B5086D"/>
    <w:rsid w:val="00B52E5B"/>
    <w:rsid w:val="00B5336F"/>
    <w:rsid w:val="00B536D4"/>
    <w:rsid w:val="00B54340"/>
    <w:rsid w:val="00B61138"/>
    <w:rsid w:val="00B61834"/>
    <w:rsid w:val="00B6253B"/>
    <w:rsid w:val="00B6329B"/>
    <w:rsid w:val="00B63A04"/>
    <w:rsid w:val="00B6408C"/>
    <w:rsid w:val="00B64CBD"/>
    <w:rsid w:val="00B65247"/>
    <w:rsid w:val="00B65587"/>
    <w:rsid w:val="00B664C7"/>
    <w:rsid w:val="00B66605"/>
    <w:rsid w:val="00B67222"/>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36F"/>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047B"/>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1A20"/>
    <w:rsid w:val="00C224E3"/>
    <w:rsid w:val="00C225D7"/>
    <w:rsid w:val="00C22A90"/>
    <w:rsid w:val="00C22ED2"/>
    <w:rsid w:val="00C23725"/>
    <w:rsid w:val="00C24115"/>
    <w:rsid w:val="00C24BDE"/>
    <w:rsid w:val="00C24D72"/>
    <w:rsid w:val="00C24F6E"/>
    <w:rsid w:val="00C26138"/>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7623"/>
    <w:rsid w:val="00C4795B"/>
    <w:rsid w:val="00C50227"/>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3F22"/>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628A"/>
    <w:rsid w:val="00CC7B45"/>
    <w:rsid w:val="00CC7F71"/>
    <w:rsid w:val="00CD0A37"/>
    <w:rsid w:val="00CD1188"/>
    <w:rsid w:val="00CD2ED1"/>
    <w:rsid w:val="00CD337B"/>
    <w:rsid w:val="00CD4628"/>
    <w:rsid w:val="00CD67BA"/>
    <w:rsid w:val="00CD6F1E"/>
    <w:rsid w:val="00CE0424"/>
    <w:rsid w:val="00CE2030"/>
    <w:rsid w:val="00CE2C2F"/>
    <w:rsid w:val="00CE2DE8"/>
    <w:rsid w:val="00CE4AD2"/>
    <w:rsid w:val="00CE4EBA"/>
    <w:rsid w:val="00CE50EE"/>
    <w:rsid w:val="00CE5650"/>
    <w:rsid w:val="00CE66B4"/>
    <w:rsid w:val="00CE6B10"/>
    <w:rsid w:val="00CE7561"/>
    <w:rsid w:val="00CF1354"/>
    <w:rsid w:val="00CF1ABC"/>
    <w:rsid w:val="00CF2B07"/>
    <w:rsid w:val="00CF3B1F"/>
    <w:rsid w:val="00CF3BF6"/>
    <w:rsid w:val="00CF3E4A"/>
    <w:rsid w:val="00CF4C4F"/>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6D4"/>
    <w:rsid w:val="00D10AD3"/>
    <w:rsid w:val="00D10D23"/>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48F"/>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F09"/>
    <w:rsid w:val="00DC15B8"/>
    <w:rsid w:val="00DC213E"/>
    <w:rsid w:val="00DC2976"/>
    <w:rsid w:val="00DC2D36"/>
    <w:rsid w:val="00DC4604"/>
    <w:rsid w:val="00DC47CE"/>
    <w:rsid w:val="00DC53EF"/>
    <w:rsid w:val="00DC6627"/>
    <w:rsid w:val="00DD010C"/>
    <w:rsid w:val="00DD0342"/>
    <w:rsid w:val="00DD0610"/>
    <w:rsid w:val="00DD162F"/>
    <w:rsid w:val="00DD184D"/>
    <w:rsid w:val="00DD272F"/>
    <w:rsid w:val="00DD2D64"/>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E759E"/>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50BD"/>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75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0C2"/>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21C"/>
    <w:rsid w:val="00E774DD"/>
    <w:rsid w:val="00E80BFF"/>
    <w:rsid w:val="00E8234C"/>
    <w:rsid w:val="00E82DEF"/>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75"/>
    <w:rsid w:val="00E94F8A"/>
    <w:rsid w:val="00E959CF"/>
    <w:rsid w:val="00E95F1C"/>
    <w:rsid w:val="00E96A1C"/>
    <w:rsid w:val="00E96B49"/>
    <w:rsid w:val="00E97612"/>
    <w:rsid w:val="00E97AFB"/>
    <w:rsid w:val="00EA243A"/>
    <w:rsid w:val="00EA2574"/>
    <w:rsid w:val="00EA2EE5"/>
    <w:rsid w:val="00EA2F5B"/>
    <w:rsid w:val="00EA49DF"/>
    <w:rsid w:val="00EA5FF7"/>
    <w:rsid w:val="00EA632D"/>
    <w:rsid w:val="00EA6ED4"/>
    <w:rsid w:val="00EA7A41"/>
    <w:rsid w:val="00EB077B"/>
    <w:rsid w:val="00EB1D21"/>
    <w:rsid w:val="00EB399E"/>
    <w:rsid w:val="00EB4EA2"/>
    <w:rsid w:val="00EB50BE"/>
    <w:rsid w:val="00EB71EA"/>
    <w:rsid w:val="00EB725F"/>
    <w:rsid w:val="00EB7BFD"/>
    <w:rsid w:val="00EC08EA"/>
    <w:rsid w:val="00EC1FE8"/>
    <w:rsid w:val="00EC27C6"/>
    <w:rsid w:val="00EC29A7"/>
    <w:rsid w:val="00EC2F7B"/>
    <w:rsid w:val="00EC36BF"/>
    <w:rsid w:val="00EC4207"/>
    <w:rsid w:val="00EC46AB"/>
    <w:rsid w:val="00EC5653"/>
    <w:rsid w:val="00EC616F"/>
    <w:rsid w:val="00EC71CE"/>
    <w:rsid w:val="00EC740B"/>
    <w:rsid w:val="00ED0393"/>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590"/>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1FE"/>
    <w:rsid w:val="00F23200"/>
    <w:rsid w:val="00F2345B"/>
    <w:rsid w:val="00F236BD"/>
    <w:rsid w:val="00F2376F"/>
    <w:rsid w:val="00F2388F"/>
    <w:rsid w:val="00F243D8"/>
    <w:rsid w:val="00F25C10"/>
    <w:rsid w:val="00F2770B"/>
    <w:rsid w:val="00F2794A"/>
    <w:rsid w:val="00F30099"/>
    <w:rsid w:val="00F30450"/>
    <w:rsid w:val="00F30828"/>
    <w:rsid w:val="00F313D6"/>
    <w:rsid w:val="00F32D13"/>
    <w:rsid w:val="00F34567"/>
    <w:rsid w:val="00F345DC"/>
    <w:rsid w:val="00F3530A"/>
    <w:rsid w:val="00F36DE2"/>
    <w:rsid w:val="00F400E4"/>
    <w:rsid w:val="00F40AAA"/>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57627"/>
    <w:rsid w:val="00F602AB"/>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3F82"/>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DECISION">
    <w:name w:val="DECISION"/>
    <w:basedOn w:val="a0"/>
    <w:rsid w:val="001A7822"/>
    <w:pPr>
      <w:widowControl w:val="0"/>
      <w:numPr>
        <w:numId w:val="37"/>
      </w:numPr>
      <w:overflowPunct/>
      <w:autoSpaceDE/>
      <w:autoSpaceDN/>
      <w:adjustRightInd/>
      <w:spacing w:before="120"/>
      <w:textAlignment w:val="auto"/>
    </w:pPr>
    <w:rPr>
      <w:rFonts w:eastAsia="等线"/>
      <w:b/>
      <w:color w:val="0000FF"/>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025D37D7-7231-459D-B07B-93759B863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52</TotalTime>
  <Pages>5</Pages>
  <Words>1068</Words>
  <Characters>6093</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7147</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冷冰雪(Bingxue Leng)</cp:lastModifiedBy>
  <cp:revision>7</cp:revision>
  <cp:lastPrinted>2008-01-31T16:09:00Z</cp:lastPrinted>
  <dcterms:created xsi:type="dcterms:W3CDTF">2020-10-15T10:11:00Z</dcterms:created>
  <dcterms:modified xsi:type="dcterms:W3CDTF">2020-10-22T02:17:00Z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